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9C" w:rsidRPr="00CD0C9C" w:rsidRDefault="00CD0C9C" w:rsidP="00CD0C9C">
      <w:pPr>
        <w:widowControl/>
        <w:pBdr>
          <w:bottom w:val="single" w:sz="6" w:space="15" w:color="CCCCCC"/>
        </w:pBdr>
        <w:shd w:val="clear" w:color="auto" w:fill="FFFFFF"/>
        <w:spacing w:before="150" w:after="150" w:line="600" w:lineRule="atLeast"/>
        <w:jc w:val="center"/>
        <w:outlineLvl w:val="1"/>
        <w:rPr>
          <w:rFonts w:ascii="微软雅黑" w:eastAsia="微软雅黑" w:hAnsi="微软雅黑" w:cs="宋体"/>
          <w:b/>
          <w:bCs/>
          <w:color w:val="333333"/>
          <w:kern w:val="0"/>
          <w:sz w:val="36"/>
          <w:szCs w:val="36"/>
        </w:rPr>
      </w:pPr>
      <w:r w:rsidRPr="00CD0C9C">
        <w:rPr>
          <w:rFonts w:ascii="微软雅黑" w:eastAsia="微软雅黑" w:hAnsi="微软雅黑" w:cs="宋体" w:hint="eastAsia"/>
          <w:b/>
          <w:bCs/>
          <w:color w:val="333333"/>
          <w:kern w:val="0"/>
          <w:sz w:val="36"/>
          <w:szCs w:val="36"/>
        </w:rPr>
        <w:t>关于印发《上海市科研计划项目（课题）专项经费管理办法》的通知</w:t>
      </w:r>
    </w:p>
    <w:p w:rsidR="00CD0C9C" w:rsidRPr="00CD0C9C" w:rsidRDefault="00CD0C9C" w:rsidP="00CD0C9C">
      <w:pPr>
        <w:widowControl/>
        <w:shd w:val="clear" w:color="auto" w:fill="FFFFFF"/>
        <w:spacing w:line="378" w:lineRule="atLeast"/>
        <w:jc w:val="center"/>
        <w:rPr>
          <w:rFonts w:ascii="Arial" w:eastAsia="宋体" w:hAnsi="Arial" w:cs="Arial" w:hint="eastAsia"/>
          <w:color w:val="333333"/>
          <w:kern w:val="0"/>
          <w:szCs w:val="21"/>
        </w:rPr>
      </w:pPr>
    </w:p>
    <w:p w:rsidR="00CD0C9C" w:rsidRPr="00CD0C9C" w:rsidRDefault="00CD0C9C" w:rsidP="00CD0C9C">
      <w:pPr>
        <w:widowControl/>
        <w:shd w:val="clear" w:color="auto" w:fill="FFFFFF"/>
        <w:spacing w:line="378" w:lineRule="atLeast"/>
        <w:jc w:val="center"/>
        <w:rPr>
          <w:rFonts w:ascii="Arial" w:eastAsia="宋体" w:hAnsi="Arial" w:cs="Arial"/>
          <w:color w:val="333333"/>
          <w:kern w:val="0"/>
          <w:szCs w:val="21"/>
        </w:rPr>
      </w:pPr>
      <w:r w:rsidRPr="00CD0C9C">
        <w:rPr>
          <w:rFonts w:ascii="Arial" w:eastAsia="宋体" w:hAnsi="Arial" w:cs="Arial"/>
          <w:color w:val="333333"/>
          <w:kern w:val="0"/>
          <w:szCs w:val="21"/>
        </w:rPr>
        <w:t>发文日期：</w:t>
      </w:r>
      <w:r w:rsidRPr="00CD0C9C">
        <w:rPr>
          <w:rFonts w:ascii="Arial" w:eastAsia="宋体" w:hAnsi="Arial" w:cs="Arial"/>
          <w:color w:val="333333"/>
          <w:kern w:val="0"/>
          <w:szCs w:val="21"/>
        </w:rPr>
        <w:t>2017-12-27  |  </w:t>
      </w:r>
      <w:r w:rsidRPr="00CD0C9C">
        <w:rPr>
          <w:rFonts w:ascii="Arial" w:eastAsia="宋体" w:hAnsi="Arial" w:cs="Arial"/>
          <w:color w:val="333333"/>
          <w:kern w:val="0"/>
          <w:szCs w:val="21"/>
        </w:rPr>
        <w:t>文号：沪财发〔</w:t>
      </w:r>
      <w:r w:rsidRPr="00CD0C9C">
        <w:rPr>
          <w:rFonts w:ascii="Arial" w:eastAsia="宋体" w:hAnsi="Arial" w:cs="Arial"/>
          <w:color w:val="333333"/>
          <w:kern w:val="0"/>
          <w:szCs w:val="21"/>
        </w:rPr>
        <w:t>2017</w:t>
      </w:r>
      <w:r w:rsidRPr="00CD0C9C">
        <w:rPr>
          <w:rFonts w:ascii="Arial" w:eastAsia="宋体" w:hAnsi="Arial" w:cs="Arial"/>
          <w:color w:val="333333"/>
          <w:kern w:val="0"/>
          <w:szCs w:val="21"/>
        </w:rPr>
        <w:t>〕</w:t>
      </w:r>
      <w:r w:rsidRPr="00CD0C9C">
        <w:rPr>
          <w:rFonts w:ascii="Arial" w:eastAsia="宋体" w:hAnsi="Arial" w:cs="Arial"/>
          <w:color w:val="333333"/>
          <w:kern w:val="0"/>
          <w:szCs w:val="21"/>
        </w:rPr>
        <w:t>9</w:t>
      </w:r>
      <w:r w:rsidRPr="00CD0C9C">
        <w:rPr>
          <w:rFonts w:ascii="Arial" w:eastAsia="宋体" w:hAnsi="Arial" w:cs="Arial"/>
          <w:color w:val="333333"/>
          <w:kern w:val="0"/>
          <w:szCs w:val="21"/>
        </w:rPr>
        <w:t>号</w:t>
      </w:r>
      <w:r w:rsidRPr="00CD0C9C">
        <w:rPr>
          <w:rFonts w:ascii="Arial" w:eastAsia="宋体" w:hAnsi="Arial" w:cs="Arial"/>
          <w:color w:val="333333"/>
          <w:kern w:val="0"/>
          <w:szCs w:val="21"/>
        </w:rPr>
        <w:t>  |  </w:t>
      </w:r>
      <w:r w:rsidRPr="00CD0C9C">
        <w:rPr>
          <w:rFonts w:ascii="Arial" w:eastAsia="宋体" w:hAnsi="Arial" w:cs="Arial"/>
          <w:color w:val="333333"/>
          <w:kern w:val="0"/>
          <w:szCs w:val="21"/>
        </w:rPr>
        <w:t>发文机关：上海市财政局</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上海市科学技术委员会</w:t>
      </w:r>
      <w:r w:rsidRPr="00CD0C9C">
        <w:rPr>
          <w:rFonts w:ascii="Arial" w:eastAsia="宋体" w:hAnsi="Arial" w:cs="Arial"/>
          <w:color w:val="333333"/>
          <w:kern w:val="0"/>
          <w:szCs w:val="21"/>
        </w:rPr>
        <w:t xml:space="preserve">  | </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各有关单位：</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为贯彻落实中共中央办公厅、国务院办公厅《关于进一步完善中央财政科研项目资金管理等政策的若干意见》、市政府办公厅《关于进一步加大财政支持力度</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加快建设具有全球影响力的科技创新中心的若干配套政策》精神，市财政局会同市科学技术委员会对原《上海市科研计划专项经费管理办法》进行了修订，自</w:t>
      </w:r>
      <w:r w:rsidRPr="00CD0C9C">
        <w:rPr>
          <w:rFonts w:ascii="Arial" w:eastAsia="宋体" w:hAnsi="Arial" w:cs="Arial"/>
          <w:color w:val="333333"/>
          <w:kern w:val="0"/>
          <w:szCs w:val="21"/>
        </w:rPr>
        <w:t>2018</w:t>
      </w:r>
      <w:r w:rsidRPr="00CD0C9C">
        <w:rPr>
          <w:rFonts w:ascii="Arial" w:eastAsia="宋体" w:hAnsi="Arial" w:cs="Arial"/>
          <w:color w:val="333333"/>
          <w:kern w:val="0"/>
          <w:szCs w:val="21"/>
        </w:rPr>
        <w:t>年</w:t>
      </w:r>
      <w:r w:rsidRPr="00CD0C9C">
        <w:rPr>
          <w:rFonts w:ascii="Arial" w:eastAsia="宋体" w:hAnsi="Arial" w:cs="Arial"/>
          <w:color w:val="333333"/>
          <w:kern w:val="0"/>
          <w:szCs w:val="21"/>
        </w:rPr>
        <w:t>1</w:t>
      </w:r>
      <w:r w:rsidRPr="00CD0C9C">
        <w:rPr>
          <w:rFonts w:ascii="Arial" w:eastAsia="宋体" w:hAnsi="Arial" w:cs="Arial"/>
          <w:color w:val="333333"/>
          <w:kern w:val="0"/>
          <w:szCs w:val="21"/>
        </w:rPr>
        <w:t>月</w:t>
      </w:r>
      <w:r w:rsidRPr="00CD0C9C">
        <w:rPr>
          <w:rFonts w:ascii="Arial" w:eastAsia="宋体" w:hAnsi="Arial" w:cs="Arial"/>
          <w:color w:val="333333"/>
          <w:kern w:val="0"/>
          <w:szCs w:val="21"/>
        </w:rPr>
        <w:t>1</w:t>
      </w:r>
      <w:r w:rsidRPr="00CD0C9C">
        <w:rPr>
          <w:rFonts w:ascii="Arial" w:eastAsia="宋体" w:hAnsi="Arial" w:cs="Arial"/>
          <w:color w:val="333333"/>
          <w:kern w:val="0"/>
          <w:szCs w:val="21"/>
        </w:rPr>
        <w:t>日起施行，原《上海市科研计划专项经费管理办法》（沪财教〔</w:t>
      </w:r>
      <w:r w:rsidRPr="00CD0C9C">
        <w:rPr>
          <w:rFonts w:ascii="Arial" w:eastAsia="宋体" w:hAnsi="Arial" w:cs="Arial"/>
          <w:color w:val="333333"/>
          <w:kern w:val="0"/>
          <w:szCs w:val="21"/>
        </w:rPr>
        <w:t>2015</w:t>
      </w:r>
      <w:r w:rsidRPr="00CD0C9C">
        <w:rPr>
          <w:rFonts w:ascii="Arial" w:eastAsia="宋体" w:hAnsi="Arial" w:cs="Arial"/>
          <w:color w:val="333333"/>
          <w:kern w:val="0"/>
          <w:szCs w:val="21"/>
        </w:rPr>
        <w:t>〕</w:t>
      </w:r>
      <w:r w:rsidRPr="00CD0C9C">
        <w:rPr>
          <w:rFonts w:ascii="Arial" w:eastAsia="宋体" w:hAnsi="Arial" w:cs="Arial"/>
          <w:color w:val="333333"/>
          <w:kern w:val="0"/>
          <w:szCs w:val="21"/>
        </w:rPr>
        <w:t>95</w:t>
      </w:r>
      <w:r w:rsidRPr="00CD0C9C">
        <w:rPr>
          <w:rFonts w:ascii="Arial" w:eastAsia="宋体" w:hAnsi="Arial" w:cs="Arial"/>
          <w:color w:val="333333"/>
          <w:kern w:val="0"/>
          <w:szCs w:val="21"/>
        </w:rPr>
        <w:t>号）同时废止。</w:t>
      </w:r>
    </w:p>
    <w:p w:rsidR="00CD0C9C" w:rsidRPr="00CD0C9C" w:rsidRDefault="00CD0C9C" w:rsidP="00CD0C9C">
      <w:pPr>
        <w:widowControl/>
        <w:shd w:val="clear" w:color="auto" w:fill="FFFFFF"/>
        <w:spacing w:line="378" w:lineRule="atLeast"/>
        <w:jc w:val="right"/>
        <w:rPr>
          <w:rFonts w:ascii="Arial" w:eastAsia="宋体" w:hAnsi="Arial" w:cs="Arial"/>
          <w:color w:val="333333"/>
          <w:kern w:val="0"/>
          <w:szCs w:val="21"/>
        </w:rPr>
      </w:pPr>
      <w:r w:rsidRPr="00CD0C9C">
        <w:rPr>
          <w:rFonts w:ascii="Arial" w:eastAsia="宋体" w:hAnsi="Arial" w:cs="Arial"/>
          <w:color w:val="333333"/>
          <w:kern w:val="0"/>
          <w:szCs w:val="21"/>
        </w:rPr>
        <w:t xml:space="preserve">　　上海市财政局</w:t>
      </w:r>
    </w:p>
    <w:p w:rsidR="00CD0C9C" w:rsidRPr="00CD0C9C" w:rsidRDefault="00CD0C9C" w:rsidP="00CD0C9C">
      <w:pPr>
        <w:widowControl/>
        <w:shd w:val="clear" w:color="auto" w:fill="FFFFFF"/>
        <w:spacing w:line="378" w:lineRule="atLeast"/>
        <w:jc w:val="right"/>
        <w:rPr>
          <w:rFonts w:ascii="Arial" w:eastAsia="宋体" w:hAnsi="Arial" w:cs="Arial"/>
          <w:color w:val="333333"/>
          <w:kern w:val="0"/>
          <w:szCs w:val="21"/>
        </w:rPr>
      </w:pPr>
      <w:r w:rsidRPr="00CD0C9C">
        <w:rPr>
          <w:rFonts w:ascii="Arial" w:eastAsia="宋体" w:hAnsi="Arial" w:cs="Arial"/>
          <w:color w:val="333333"/>
          <w:kern w:val="0"/>
          <w:szCs w:val="21"/>
        </w:rPr>
        <w:t xml:space="preserve">　　上海市科学技术委员会</w:t>
      </w:r>
    </w:p>
    <w:p w:rsidR="00CD0C9C" w:rsidRPr="00CD0C9C" w:rsidRDefault="00CD0C9C" w:rsidP="00CD0C9C">
      <w:pPr>
        <w:widowControl/>
        <w:shd w:val="clear" w:color="auto" w:fill="FFFFFF"/>
        <w:spacing w:line="378" w:lineRule="atLeast"/>
        <w:jc w:val="righ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2017</w:t>
      </w:r>
      <w:r w:rsidRPr="00CD0C9C">
        <w:rPr>
          <w:rFonts w:ascii="Arial" w:eastAsia="宋体" w:hAnsi="Arial" w:cs="Arial"/>
          <w:color w:val="333333"/>
          <w:kern w:val="0"/>
          <w:szCs w:val="21"/>
        </w:rPr>
        <w:t>年</w:t>
      </w:r>
      <w:r w:rsidRPr="00CD0C9C">
        <w:rPr>
          <w:rFonts w:ascii="Arial" w:eastAsia="宋体" w:hAnsi="Arial" w:cs="Arial"/>
          <w:color w:val="333333"/>
          <w:kern w:val="0"/>
          <w:szCs w:val="21"/>
        </w:rPr>
        <w:t>12</w:t>
      </w:r>
      <w:r w:rsidRPr="00CD0C9C">
        <w:rPr>
          <w:rFonts w:ascii="Arial" w:eastAsia="宋体" w:hAnsi="Arial" w:cs="Arial"/>
          <w:color w:val="333333"/>
          <w:kern w:val="0"/>
          <w:szCs w:val="21"/>
        </w:rPr>
        <w:t>月</w:t>
      </w:r>
      <w:r w:rsidRPr="00CD0C9C">
        <w:rPr>
          <w:rFonts w:ascii="Arial" w:eastAsia="宋体" w:hAnsi="Arial" w:cs="Arial"/>
          <w:color w:val="333333"/>
          <w:kern w:val="0"/>
          <w:szCs w:val="21"/>
        </w:rPr>
        <w:t>27</w:t>
      </w:r>
      <w:r w:rsidRPr="00CD0C9C">
        <w:rPr>
          <w:rFonts w:ascii="Arial" w:eastAsia="宋体" w:hAnsi="Arial" w:cs="Arial"/>
          <w:color w:val="333333"/>
          <w:kern w:val="0"/>
          <w:szCs w:val="21"/>
        </w:rPr>
        <w:t>日</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p>
    <w:p w:rsidR="00CD0C9C" w:rsidRPr="00CD0C9C" w:rsidRDefault="00CD0C9C" w:rsidP="00CD0C9C">
      <w:pPr>
        <w:widowControl/>
        <w:shd w:val="clear" w:color="auto" w:fill="FFFFFF"/>
        <w:spacing w:line="480" w:lineRule="atLeast"/>
        <w:ind w:left="300" w:right="300"/>
        <w:jc w:val="left"/>
        <w:rPr>
          <w:rFonts w:ascii="Arial" w:eastAsia="宋体" w:hAnsi="Arial" w:cs="Arial"/>
          <w:color w:val="333333"/>
          <w:kern w:val="0"/>
          <w:szCs w:val="21"/>
        </w:rPr>
      </w:pPr>
      <w:r w:rsidRPr="00CD0C9C">
        <w:rPr>
          <w:rFonts w:ascii="Arial" w:eastAsia="宋体" w:hAnsi="Arial" w:cs="Arial"/>
          <w:color w:val="333333"/>
          <w:kern w:val="0"/>
          <w:szCs w:val="21"/>
        </w:rPr>
        <w:t> </w:t>
      </w:r>
    </w:p>
    <w:p w:rsidR="00CD0C9C" w:rsidRPr="00CD0C9C" w:rsidRDefault="00CD0C9C" w:rsidP="00CD0C9C">
      <w:pPr>
        <w:widowControl/>
        <w:shd w:val="clear" w:color="auto" w:fill="FFFFFF"/>
        <w:spacing w:line="480" w:lineRule="atLeast"/>
        <w:ind w:left="300" w:right="300"/>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p>
    <w:p w:rsidR="00CD0C9C" w:rsidRPr="00CD0C9C" w:rsidRDefault="00CD0C9C" w:rsidP="00CD0C9C">
      <w:pPr>
        <w:widowControl/>
        <w:shd w:val="clear" w:color="auto" w:fill="FFFFFF"/>
        <w:spacing w:line="480" w:lineRule="atLeast"/>
        <w:ind w:left="300" w:right="300"/>
        <w:jc w:val="left"/>
        <w:rPr>
          <w:rFonts w:ascii="Arial" w:eastAsia="宋体" w:hAnsi="Arial" w:cs="Arial"/>
          <w:color w:val="333333"/>
          <w:kern w:val="0"/>
          <w:szCs w:val="21"/>
        </w:rPr>
      </w:pPr>
      <w:r w:rsidRPr="00CD0C9C">
        <w:rPr>
          <w:rFonts w:ascii="Arial" w:eastAsia="宋体" w:hAnsi="Arial" w:cs="Arial"/>
          <w:color w:val="333333"/>
          <w:kern w:val="0"/>
          <w:szCs w:val="21"/>
        </w:rPr>
        <w:t> </w:t>
      </w:r>
    </w:p>
    <w:p w:rsidR="00CD0C9C" w:rsidRPr="00CD0C9C" w:rsidRDefault="00CD0C9C" w:rsidP="00CD0C9C">
      <w:pPr>
        <w:widowControl/>
        <w:shd w:val="clear" w:color="auto" w:fill="FFFFFF"/>
        <w:spacing w:line="480" w:lineRule="atLeast"/>
        <w:ind w:left="300" w:right="300"/>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p>
    <w:p w:rsidR="00CD0C9C" w:rsidRPr="00CD0C9C" w:rsidRDefault="00CD0C9C" w:rsidP="00CD0C9C">
      <w:pPr>
        <w:widowControl/>
        <w:shd w:val="clear" w:color="auto" w:fill="FFFFFF"/>
        <w:spacing w:line="378" w:lineRule="atLeast"/>
        <w:jc w:val="center"/>
        <w:rPr>
          <w:rFonts w:ascii="Arial" w:eastAsia="宋体" w:hAnsi="Arial" w:cs="Arial"/>
          <w:color w:val="333333"/>
          <w:kern w:val="0"/>
          <w:szCs w:val="21"/>
        </w:rPr>
      </w:pPr>
      <w:r w:rsidRPr="00CD0C9C">
        <w:rPr>
          <w:rFonts w:ascii="Arial" w:eastAsia="宋体" w:hAnsi="Arial" w:cs="Arial"/>
          <w:b/>
          <w:bCs/>
          <w:color w:val="333333"/>
          <w:kern w:val="0"/>
          <w:szCs w:val="21"/>
        </w:rPr>
        <w:t>上海市科研计划项目（课题）专项经费管理办法</w:t>
      </w:r>
    </w:p>
    <w:p w:rsidR="00CD0C9C" w:rsidRPr="00CD0C9C" w:rsidRDefault="00CD0C9C" w:rsidP="00CD0C9C">
      <w:pPr>
        <w:widowControl/>
        <w:shd w:val="clear" w:color="auto" w:fill="FFFFFF"/>
        <w:spacing w:line="480" w:lineRule="atLeast"/>
        <w:ind w:left="300" w:right="300"/>
        <w:jc w:val="center"/>
        <w:rPr>
          <w:rFonts w:ascii="Arial" w:eastAsia="宋体" w:hAnsi="Arial" w:cs="Arial"/>
          <w:color w:val="333333"/>
          <w:kern w:val="0"/>
          <w:szCs w:val="21"/>
        </w:rPr>
      </w:pPr>
      <w:r w:rsidRPr="00CD0C9C">
        <w:rPr>
          <w:rFonts w:ascii="Arial" w:eastAsia="宋体" w:hAnsi="Arial" w:cs="Arial"/>
          <w:color w:val="333333"/>
          <w:kern w:val="0"/>
          <w:szCs w:val="21"/>
        </w:rPr>
        <w:t xml:space="preserve">　　</w:t>
      </w:r>
    </w:p>
    <w:p w:rsidR="00CD0C9C" w:rsidRPr="00CD0C9C" w:rsidRDefault="00CD0C9C" w:rsidP="00CD0C9C">
      <w:pPr>
        <w:widowControl/>
        <w:shd w:val="clear" w:color="auto" w:fill="FFFFFF"/>
        <w:spacing w:line="378" w:lineRule="atLeast"/>
        <w:jc w:val="center"/>
        <w:rPr>
          <w:rFonts w:ascii="Arial" w:eastAsia="宋体" w:hAnsi="Arial" w:cs="Arial"/>
          <w:color w:val="333333"/>
          <w:kern w:val="0"/>
          <w:szCs w:val="21"/>
        </w:rPr>
      </w:pPr>
      <w:r w:rsidRPr="00CD0C9C">
        <w:rPr>
          <w:rFonts w:ascii="Arial" w:eastAsia="宋体" w:hAnsi="Arial" w:cs="Arial"/>
          <w:color w:val="333333"/>
          <w:kern w:val="0"/>
          <w:szCs w:val="21"/>
        </w:rPr>
        <w:t>第一章</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总</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则</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第一条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为了规范并加强本市科研计划项目（课题）专项经费的管理，提高资金使用效益，根据《国务院关于改进加强中央财政科研项目和资金管理的若干意见》（国发〔</w:t>
      </w:r>
      <w:r w:rsidRPr="00CD0C9C">
        <w:rPr>
          <w:rFonts w:ascii="Arial" w:eastAsia="宋体" w:hAnsi="Arial" w:cs="Arial"/>
          <w:color w:val="333333"/>
          <w:kern w:val="0"/>
          <w:szCs w:val="21"/>
        </w:rPr>
        <w:t>2014</w:t>
      </w:r>
      <w:r w:rsidRPr="00CD0C9C">
        <w:rPr>
          <w:rFonts w:ascii="Arial" w:eastAsia="宋体" w:hAnsi="Arial" w:cs="Arial"/>
          <w:color w:val="333333"/>
          <w:kern w:val="0"/>
          <w:szCs w:val="21"/>
        </w:rPr>
        <w:t>〕</w:t>
      </w:r>
      <w:r w:rsidRPr="00CD0C9C">
        <w:rPr>
          <w:rFonts w:ascii="Arial" w:eastAsia="宋体" w:hAnsi="Arial" w:cs="Arial"/>
          <w:color w:val="333333"/>
          <w:kern w:val="0"/>
          <w:szCs w:val="21"/>
        </w:rPr>
        <w:t>11</w:t>
      </w:r>
      <w:r w:rsidRPr="00CD0C9C">
        <w:rPr>
          <w:rFonts w:ascii="Arial" w:eastAsia="宋体" w:hAnsi="Arial" w:cs="Arial"/>
          <w:color w:val="333333"/>
          <w:kern w:val="0"/>
          <w:szCs w:val="21"/>
        </w:rPr>
        <w:t>号）、《关于进一步完善中央财政科研项目资金管理等政策的若干意见》（中办发〔</w:t>
      </w:r>
      <w:r w:rsidRPr="00CD0C9C">
        <w:rPr>
          <w:rFonts w:ascii="Arial" w:eastAsia="宋体" w:hAnsi="Arial" w:cs="Arial"/>
          <w:color w:val="333333"/>
          <w:kern w:val="0"/>
          <w:szCs w:val="21"/>
        </w:rPr>
        <w:t>2016</w:t>
      </w:r>
      <w:r w:rsidRPr="00CD0C9C">
        <w:rPr>
          <w:rFonts w:ascii="Arial" w:eastAsia="宋体" w:hAnsi="Arial" w:cs="Arial"/>
          <w:color w:val="333333"/>
          <w:kern w:val="0"/>
          <w:szCs w:val="21"/>
        </w:rPr>
        <w:t>〕</w:t>
      </w:r>
      <w:r w:rsidRPr="00CD0C9C">
        <w:rPr>
          <w:rFonts w:ascii="Arial" w:eastAsia="宋体" w:hAnsi="Arial" w:cs="Arial"/>
          <w:color w:val="333333"/>
          <w:kern w:val="0"/>
          <w:szCs w:val="21"/>
        </w:rPr>
        <w:t>50</w:t>
      </w:r>
      <w:r w:rsidRPr="00CD0C9C">
        <w:rPr>
          <w:rFonts w:ascii="Arial" w:eastAsia="宋体" w:hAnsi="Arial" w:cs="Arial"/>
          <w:color w:val="333333"/>
          <w:kern w:val="0"/>
          <w:szCs w:val="21"/>
        </w:rPr>
        <w:t>号）、《上海市人民政府办公厅关于印发〈关于进一步加大财政支持力度加快建设具有全球影响力的科技创新中心的若干配套政策〉的通知》（沪府办〔</w:t>
      </w:r>
      <w:r w:rsidRPr="00CD0C9C">
        <w:rPr>
          <w:rFonts w:ascii="Arial" w:eastAsia="宋体" w:hAnsi="Arial" w:cs="Arial"/>
          <w:color w:val="333333"/>
          <w:kern w:val="0"/>
          <w:szCs w:val="21"/>
        </w:rPr>
        <w:t>2015</w:t>
      </w:r>
      <w:r w:rsidRPr="00CD0C9C">
        <w:rPr>
          <w:rFonts w:ascii="Arial" w:eastAsia="宋体" w:hAnsi="Arial" w:cs="Arial"/>
          <w:color w:val="333333"/>
          <w:kern w:val="0"/>
          <w:szCs w:val="21"/>
        </w:rPr>
        <w:t>〕</w:t>
      </w:r>
      <w:r w:rsidRPr="00CD0C9C">
        <w:rPr>
          <w:rFonts w:ascii="Arial" w:eastAsia="宋体" w:hAnsi="Arial" w:cs="Arial"/>
          <w:color w:val="333333"/>
          <w:kern w:val="0"/>
          <w:szCs w:val="21"/>
        </w:rPr>
        <w:t>84</w:t>
      </w:r>
      <w:r w:rsidRPr="00CD0C9C">
        <w:rPr>
          <w:rFonts w:ascii="Arial" w:eastAsia="宋体" w:hAnsi="Arial" w:cs="Arial"/>
          <w:color w:val="333333"/>
          <w:kern w:val="0"/>
          <w:szCs w:val="21"/>
        </w:rPr>
        <w:t>号）精神，依据国家和本市有关法律法规及相关财务制度，结合本市科研经费管理的实际情况，制定本办法。</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科研计划项目（课题）专项经费（以下简称</w:t>
      </w:r>
      <w:r w:rsidRPr="00CD0C9C">
        <w:rPr>
          <w:rFonts w:ascii="Arial" w:eastAsia="宋体" w:hAnsi="Arial" w:cs="Arial"/>
          <w:color w:val="333333"/>
          <w:kern w:val="0"/>
          <w:szCs w:val="21"/>
        </w:rPr>
        <w:t>“</w:t>
      </w:r>
      <w:r w:rsidRPr="00CD0C9C">
        <w:rPr>
          <w:rFonts w:ascii="Arial" w:eastAsia="宋体" w:hAnsi="Arial" w:cs="Arial"/>
          <w:color w:val="333333"/>
          <w:kern w:val="0"/>
          <w:szCs w:val="21"/>
        </w:rPr>
        <w:t>专项经费</w:t>
      </w:r>
      <w:r w:rsidRPr="00CD0C9C">
        <w:rPr>
          <w:rFonts w:ascii="Arial" w:eastAsia="宋体" w:hAnsi="Arial" w:cs="Arial"/>
          <w:color w:val="333333"/>
          <w:kern w:val="0"/>
          <w:szCs w:val="21"/>
        </w:rPr>
        <w:t>”</w:t>
      </w:r>
      <w:r w:rsidRPr="00CD0C9C">
        <w:rPr>
          <w:rFonts w:ascii="Arial" w:eastAsia="宋体" w:hAnsi="Arial" w:cs="Arial"/>
          <w:color w:val="333333"/>
          <w:kern w:val="0"/>
          <w:szCs w:val="21"/>
        </w:rPr>
        <w:t>）是指市级财政在上海市科学技术委员会（以下简称</w:t>
      </w:r>
      <w:r w:rsidRPr="00CD0C9C">
        <w:rPr>
          <w:rFonts w:ascii="Arial" w:eastAsia="宋体" w:hAnsi="Arial" w:cs="Arial"/>
          <w:color w:val="333333"/>
          <w:kern w:val="0"/>
          <w:szCs w:val="21"/>
        </w:rPr>
        <w:t>“</w:t>
      </w:r>
      <w:r w:rsidRPr="00CD0C9C">
        <w:rPr>
          <w:rFonts w:ascii="Arial" w:eastAsia="宋体" w:hAnsi="Arial" w:cs="Arial"/>
          <w:color w:val="333333"/>
          <w:kern w:val="0"/>
          <w:szCs w:val="21"/>
        </w:rPr>
        <w:t>市科委</w:t>
      </w:r>
      <w:r w:rsidRPr="00CD0C9C">
        <w:rPr>
          <w:rFonts w:ascii="Arial" w:eastAsia="宋体" w:hAnsi="Arial" w:cs="Arial"/>
          <w:color w:val="333333"/>
          <w:kern w:val="0"/>
          <w:szCs w:val="21"/>
        </w:rPr>
        <w:t>”</w:t>
      </w:r>
      <w:r w:rsidRPr="00CD0C9C">
        <w:rPr>
          <w:rFonts w:ascii="Arial" w:eastAsia="宋体" w:hAnsi="Arial" w:cs="Arial"/>
          <w:color w:val="333333"/>
          <w:kern w:val="0"/>
          <w:szCs w:val="21"/>
        </w:rPr>
        <w:t>）部门预算中安排的支持科技创新活动的专项资金，</w:t>
      </w:r>
      <w:r w:rsidRPr="00CD0C9C">
        <w:rPr>
          <w:rFonts w:ascii="Arial" w:eastAsia="宋体" w:hAnsi="Arial" w:cs="Arial"/>
          <w:color w:val="333333"/>
          <w:kern w:val="0"/>
          <w:szCs w:val="21"/>
        </w:rPr>
        <w:lastRenderedPageBreak/>
        <w:t>主要用于支持在本市注册登记的、具有独立法人资格的单位开展基础前沿类科技研发、科技创新支撑、技术创新引导、创新创业人才培育、创新环境建设等各类科研活动，以及市委、市政府确定的其他科技创新工作。</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第三条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专项经费管理和使用原则：</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一）科学安排，合理配置。发挥市场配置各类创新要素的导向作用，优化资源配置。聚焦国家战略，围绕上海科技发展规划，保障重要科研活动的实施。严格按照科研活动的目标和任务，科学合理地编制和安排预算。</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（二）公开公平，择优资助。完善公平竞争的项目遴选机制，通过公开择优、定向择优等方式确定项目承担者。</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（三）单独核算，专款专用。被资助对象获得的专项经费纳入单位财务统一管理，实行单独核算，确保专款专用。</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（四）明确责权，追踪问效。明晰专项经费管理和使用各方的权利和义务，加强评估监管体系建设，加强科研诚信建设和信用管理，推行面向结果的追踪问效机制。</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第四条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部门职责：</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（一）上海市财政局（以下简称</w:t>
      </w:r>
      <w:r w:rsidRPr="00CD0C9C">
        <w:rPr>
          <w:rFonts w:ascii="Arial" w:eastAsia="宋体" w:hAnsi="Arial" w:cs="Arial"/>
          <w:color w:val="333333"/>
          <w:kern w:val="0"/>
          <w:szCs w:val="21"/>
        </w:rPr>
        <w:t>“</w:t>
      </w:r>
      <w:r w:rsidRPr="00CD0C9C">
        <w:rPr>
          <w:rFonts w:ascii="Arial" w:eastAsia="宋体" w:hAnsi="Arial" w:cs="Arial"/>
          <w:color w:val="333333"/>
          <w:kern w:val="0"/>
          <w:szCs w:val="21"/>
        </w:rPr>
        <w:t>市财政局</w:t>
      </w:r>
      <w:r w:rsidRPr="00CD0C9C">
        <w:rPr>
          <w:rFonts w:ascii="Arial" w:eastAsia="宋体" w:hAnsi="Arial" w:cs="Arial"/>
          <w:color w:val="333333"/>
          <w:kern w:val="0"/>
          <w:szCs w:val="21"/>
        </w:rPr>
        <w:t>”</w:t>
      </w:r>
      <w:r w:rsidRPr="00CD0C9C">
        <w:rPr>
          <w:rFonts w:ascii="Arial" w:eastAsia="宋体" w:hAnsi="Arial" w:cs="Arial"/>
          <w:color w:val="333333"/>
          <w:kern w:val="0"/>
          <w:szCs w:val="21"/>
        </w:rPr>
        <w:t>）主要负责专项经费的预算审核、资金拨付及使用监督，与市科委共同制定专项经费管理办法等工作。</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（二）市科委主要负责专项经费的预算编制、预算执行及决算编报等日常管理工作，加强监督检查和责任倒查，并探索对项目承担单位开展信用评价工作。</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p>
    <w:p w:rsidR="00CD0C9C" w:rsidRPr="00CD0C9C" w:rsidRDefault="00CD0C9C" w:rsidP="00CD0C9C">
      <w:pPr>
        <w:widowControl/>
        <w:shd w:val="clear" w:color="auto" w:fill="FFFFFF"/>
        <w:spacing w:line="378" w:lineRule="atLeast"/>
        <w:jc w:val="center"/>
        <w:rPr>
          <w:rFonts w:ascii="Arial" w:eastAsia="宋体" w:hAnsi="Arial" w:cs="Arial"/>
          <w:color w:val="333333"/>
          <w:kern w:val="0"/>
          <w:szCs w:val="21"/>
        </w:rPr>
      </w:pPr>
      <w:r w:rsidRPr="00CD0C9C">
        <w:rPr>
          <w:rFonts w:ascii="Arial" w:eastAsia="宋体" w:hAnsi="Arial" w:cs="Arial"/>
          <w:color w:val="333333"/>
          <w:kern w:val="0"/>
          <w:szCs w:val="21"/>
        </w:rPr>
        <w:t>第二章</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 xml:space="preserve">支持方式与支出内容　　</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第五条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专项经费主要采取前补助、后补助的支持方式，并探索开展其他支持方式。具体支持方式，由市科委结合科研活动特点和承担单位性质在编制和发布项目指南时明确。</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第六条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前补助是指项目（课题）立项后核定预算，并按照科研计划合同（以下简称</w:t>
      </w:r>
      <w:r w:rsidRPr="00CD0C9C">
        <w:rPr>
          <w:rFonts w:ascii="Arial" w:eastAsia="宋体" w:hAnsi="Arial" w:cs="Arial"/>
          <w:color w:val="333333"/>
          <w:kern w:val="0"/>
          <w:szCs w:val="21"/>
        </w:rPr>
        <w:t>“</w:t>
      </w:r>
      <w:r w:rsidRPr="00CD0C9C">
        <w:rPr>
          <w:rFonts w:ascii="Arial" w:eastAsia="宋体" w:hAnsi="Arial" w:cs="Arial"/>
          <w:color w:val="333333"/>
          <w:kern w:val="0"/>
          <w:szCs w:val="21"/>
        </w:rPr>
        <w:t>合同</w:t>
      </w:r>
      <w:r w:rsidRPr="00CD0C9C">
        <w:rPr>
          <w:rFonts w:ascii="Arial" w:eastAsia="宋体" w:hAnsi="Arial" w:cs="Arial"/>
          <w:color w:val="333333"/>
          <w:kern w:val="0"/>
          <w:szCs w:val="21"/>
        </w:rPr>
        <w:t>”</w:t>
      </w:r>
      <w:r w:rsidRPr="00CD0C9C">
        <w:rPr>
          <w:rFonts w:ascii="Arial" w:eastAsia="宋体" w:hAnsi="Arial" w:cs="Arial"/>
          <w:color w:val="333333"/>
          <w:kern w:val="0"/>
          <w:szCs w:val="21"/>
        </w:rPr>
        <w:t>）和科研计划任务书（以下简称</w:t>
      </w:r>
      <w:r w:rsidRPr="00CD0C9C">
        <w:rPr>
          <w:rFonts w:ascii="Arial" w:eastAsia="宋体" w:hAnsi="Arial" w:cs="Arial"/>
          <w:color w:val="333333"/>
          <w:kern w:val="0"/>
          <w:szCs w:val="21"/>
        </w:rPr>
        <w:t>“</w:t>
      </w:r>
      <w:r w:rsidRPr="00CD0C9C">
        <w:rPr>
          <w:rFonts w:ascii="Arial" w:eastAsia="宋体" w:hAnsi="Arial" w:cs="Arial"/>
          <w:color w:val="333333"/>
          <w:kern w:val="0"/>
          <w:szCs w:val="21"/>
        </w:rPr>
        <w:t>任务书</w:t>
      </w:r>
      <w:r w:rsidRPr="00CD0C9C">
        <w:rPr>
          <w:rFonts w:ascii="Arial" w:eastAsia="宋体" w:hAnsi="Arial" w:cs="Arial"/>
          <w:color w:val="333333"/>
          <w:kern w:val="0"/>
          <w:szCs w:val="21"/>
        </w:rPr>
        <w:t>”</w:t>
      </w:r>
      <w:r w:rsidRPr="00CD0C9C">
        <w:rPr>
          <w:rFonts w:ascii="Arial" w:eastAsia="宋体" w:hAnsi="Arial" w:cs="Arial"/>
          <w:color w:val="333333"/>
          <w:kern w:val="0"/>
          <w:szCs w:val="21"/>
        </w:rPr>
        <w:t>）确定的拨款计划及任务实际完成进度核拨专项经费的支持方式。</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第七条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后补助是指从事研究开发和科技服务活动的单位先行投入资金，取得成果或者服务绩效，通过验收审查或绩效考核后，给予经费补助的财政资助方式。后补助包括事前立项事后补助、奖励性后补助及共享服务后补助等方式。本办法主要规范前补助和事前立项事后补助项目（课题）专项经费。</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第八条</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对于基础性和公益性研究，以及重大共性关键技术研究、开发、集成、示范和科技人才培育等科技活动，一般采取前补助方式支持。对于面向社会开展公共研发服务并取得绩效的各类科技基础条件基地等，积极探索后补助方式支持。</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第九条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项目下设课题的，项目经费由课题经费组成。项目（课题）经费是指项目（课题）实施过程中发生的与科研活动相关的各项费用，包括直接费用和间接费用两部分。</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直接费用是指在项目（课题）实施过程中发生的与之直接相关的费用。包括：</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（一）设备费：是指在项目（课题）实施过程中购置或试制专用仪器设备，对现有仪器设备进行升级改造，以及租赁外单位仪器设备而发生的费用。对于使用专项经费购置的单台</w:t>
      </w:r>
      <w:r w:rsidRPr="00CD0C9C">
        <w:rPr>
          <w:rFonts w:ascii="Arial" w:eastAsia="宋体" w:hAnsi="Arial" w:cs="Arial"/>
          <w:color w:val="333333"/>
          <w:kern w:val="0"/>
          <w:szCs w:val="21"/>
        </w:rPr>
        <w:t>/</w:t>
      </w:r>
      <w:r w:rsidRPr="00CD0C9C">
        <w:rPr>
          <w:rFonts w:ascii="Arial" w:eastAsia="宋体" w:hAnsi="Arial" w:cs="Arial"/>
          <w:color w:val="333333"/>
          <w:kern w:val="0"/>
          <w:szCs w:val="21"/>
        </w:rPr>
        <w:t>套</w:t>
      </w:r>
      <w:r w:rsidRPr="00CD0C9C">
        <w:rPr>
          <w:rFonts w:ascii="Arial" w:eastAsia="宋体" w:hAnsi="Arial" w:cs="Arial"/>
          <w:color w:val="333333"/>
          <w:kern w:val="0"/>
          <w:szCs w:val="21"/>
        </w:rPr>
        <w:t>/</w:t>
      </w:r>
      <w:r w:rsidRPr="00CD0C9C">
        <w:rPr>
          <w:rFonts w:ascii="Arial" w:eastAsia="宋体" w:hAnsi="Arial" w:cs="Arial"/>
          <w:color w:val="333333"/>
          <w:kern w:val="0"/>
          <w:szCs w:val="21"/>
        </w:rPr>
        <w:t>件价格在</w:t>
      </w:r>
      <w:r w:rsidRPr="00CD0C9C">
        <w:rPr>
          <w:rFonts w:ascii="Arial" w:eastAsia="宋体" w:hAnsi="Arial" w:cs="Arial"/>
          <w:color w:val="333333"/>
          <w:kern w:val="0"/>
          <w:szCs w:val="21"/>
        </w:rPr>
        <w:t>50</w:t>
      </w:r>
      <w:r w:rsidRPr="00CD0C9C">
        <w:rPr>
          <w:rFonts w:ascii="Arial" w:eastAsia="宋体" w:hAnsi="Arial" w:cs="Arial"/>
          <w:color w:val="333333"/>
          <w:kern w:val="0"/>
          <w:szCs w:val="21"/>
        </w:rPr>
        <w:t>万元以上的设备，应当按照《上海市新购大型科学仪器设施联合评议实施办法》的有关规定执行。</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（二）材料费：是指在项目（课题）实施过程中需要消耗的各种原材料、辅助材料、低值易耗品、元器件、试剂、实验动物、部件、外购件、包装物的采购、运输、装卸、整理等费用。</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三）测试化验加工费：是指在项目（课题）实施过程中由于承担单位自身的技术、工艺和设备等条件的限制，必须支付给外单位（包括项目（课题）承担单位内部独立经济核算单位）的检验、测试、设计、化验及加工等费用。</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（四）燃料动力费：是指在项目（课题）实施过程中直接使用的相关仪器设备、科学装置等运行发生的水、电、气、燃料消耗费用等。</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（五）差旅</w:t>
      </w:r>
      <w:r w:rsidRPr="00CD0C9C">
        <w:rPr>
          <w:rFonts w:ascii="Arial" w:eastAsia="宋体" w:hAnsi="Arial" w:cs="Arial"/>
          <w:color w:val="333333"/>
          <w:kern w:val="0"/>
          <w:szCs w:val="21"/>
        </w:rPr>
        <w:t>/</w:t>
      </w:r>
      <w:r w:rsidRPr="00CD0C9C">
        <w:rPr>
          <w:rFonts w:ascii="Arial" w:eastAsia="宋体" w:hAnsi="Arial" w:cs="Arial"/>
          <w:color w:val="333333"/>
          <w:kern w:val="0"/>
          <w:szCs w:val="21"/>
        </w:rPr>
        <w:t>会议</w:t>
      </w:r>
      <w:r w:rsidRPr="00CD0C9C">
        <w:rPr>
          <w:rFonts w:ascii="Arial" w:eastAsia="宋体" w:hAnsi="Arial" w:cs="Arial"/>
          <w:color w:val="333333"/>
          <w:kern w:val="0"/>
          <w:szCs w:val="21"/>
        </w:rPr>
        <w:t>/</w:t>
      </w:r>
      <w:r w:rsidRPr="00CD0C9C">
        <w:rPr>
          <w:rFonts w:ascii="Arial" w:eastAsia="宋体" w:hAnsi="Arial" w:cs="Arial"/>
          <w:color w:val="333333"/>
          <w:kern w:val="0"/>
          <w:szCs w:val="21"/>
        </w:rPr>
        <w:t>国际合作与交流费：是指在项目实施过程中发生的差旅费、会议费和国际合作与交流费。在编制预算时，本科目支出预算不超过直接费用预算</w:t>
      </w:r>
      <w:r w:rsidRPr="00CD0C9C">
        <w:rPr>
          <w:rFonts w:ascii="Arial" w:eastAsia="宋体" w:hAnsi="Arial" w:cs="Arial"/>
          <w:color w:val="333333"/>
          <w:kern w:val="0"/>
          <w:szCs w:val="21"/>
        </w:rPr>
        <w:t>10%</w:t>
      </w:r>
      <w:r w:rsidRPr="00CD0C9C">
        <w:rPr>
          <w:rFonts w:ascii="Arial" w:eastAsia="宋体" w:hAnsi="Arial" w:cs="Arial"/>
          <w:color w:val="333333"/>
          <w:kern w:val="0"/>
          <w:szCs w:val="21"/>
        </w:rPr>
        <w:t>的，不需要编制测算依据。承担单位和科研人员应当按照实事求是、精简高效、厉行节约的原则，严格执行国家和单位的有关规定，统筹安排使用。其中：</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差旅费：是指在项目（课题）实施过程中开展科学实验（试验）、科学考察、业务调研、学术交流等所发生的外埠（国内）差旅费、市内交通费用等。高校、科研院所可根据教学、科研、管理工作实际需要，研究制定差旅费管理办法，合理确定教学科研人员乘坐交通工具等级和住宿费标准。</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会议费：是指在项目（课题）实施过程中为组织开展学术研讨、咨询以及协调项目（课题）等活动而发生的会议费用。承担单位应当严格控制会议规模、会议数量、会议开支标准和会期。高校、科研院所因教学、科研需要举办的业务性会议（如学术会议、研讨会、评审会、座谈会、答辩会等），会议次数、天数、人数以及会议费开支范围、标准等，由高校、科研院所合理确定。会议代表参加会议所发生的城市间交通费，原则上按差旅费管理规定由所在单位报销；因工作需要，邀请国内外专家、学者和有关人员参加会议，对确需负担的城市间交通费、国际旅费，可由承担单位在会议费等费用中报销。</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国际合作与交流费：是指在项目（课题）实施过程中项目（课题）研究人员出国及外国专家来华工作的费用。</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（六）出版</w:t>
      </w:r>
      <w:r w:rsidRPr="00CD0C9C">
        <w:rPr>
          <w:rFonts w:ascii="Arial" w:eastAsia="宋体" w:hAnsi="Arial" w:cs="Arial"/>
          <w:color w:val="333333"/>
          <w:kern w:val="0"/>
          <w:szCs w:val="21"/>
        </w:rPr>
        <w:t>/</w:t>
      </w:r>
      <w:r w:rsidRPr="00CD0C9C">
        <w:rPr>
          <w:rFonts w:ascii="Arial" w:eastAsia="宋体" w:hAnsi="Arial" w:cs="Arial"/>
          <w:color w:val="333333"/>
          <w:kern w:val="0"/>
          <w:szCs w:val="21"/>
        </w:rPr>
        <w:t>文献</w:t>
      </w:r>
      <w:r w:rsidRPr="00CD0C9C">
        <w:rPr>
          <w:rFonts w:ascii="Arial" w:eastAsia="宋体" w:hAnsi="Arial" w:cs="Arial"/>
          <w:color w:val="333333"/>
          <w:kern w:val="0"/>
          <w:szCs w:val="21"/>
        </w:rPr>
        <w:t>/</w:t>
      </w:r>
      <w:r w:rsidRPr="00CD0C9C">
        <w:rPr>
          <w:rFonts w:ascii="Arial" w:eastAsia="宋体" w:hAnsi="Arial" w:cs="Arial"/>
          <w:color w:val="333333"/>
          <w:kern w:val="0"/>
          <w:szCs w:val="21"/>
        </w:rPr>
        <w:t>信息传播</w:t>
      </w:r>
      <w:r w:rsidRPr="00CD0C9C">
        <w:rPr>
          <w:rFonts w:ascii="Arial" w:eastAsia="宋体" w:hAnsi="Arial" w:cs="Arial"/>
          <w:color w:val="333333"/>
          <w:kern w:val="0"/>
          <w:szCs w:val="21"/>
        </w:rPr>
        <w:t>/</w:t>
      </w:r>
      <w:r w:rsidRPr="00CD0C9C">
        <w:rPr>
          <w:rFonts w:ascii="Arial" w:eastAsia="宋体" w:hAnsi="Arial" w:cs="Arial"/>
          <w:color w:val="333333"/>
          <w:kern w:val="0"/>
          <w:szCs w:val="21"/>
        </w:rPr>
        <w:t>知识产权事务费：是指在项目（课题）实施过程中需要支付的出版费、资料费、专用软件购买费、文献检索费、专业通信费、专利申请及其他知识产权事务等费用。</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（七）劳务费：是指在项目（课题）实施过程中支付给项目（课题）组成员、因科研项目（课题）需要引进的人才以及临时聘用人员的劳务性费用。劳务费支出控制在申请专项经费支出总额的</w:t>
      </w:r>
      <w:r w:rsidRPr="00CD0C9C">
        <w:rPr>
          <w:rFonts w:ascii="Arial" w:eastAsia="宋体" w:hAnsi="Arial" w:cs="Arial"/>
          <w:color w:val="333333"/>
          <w:kern w:val="0"/>
          <w:szCs w:val="21"/>
        </w:rPr>
        <w:t>30%</w:t>
      </w:r>
      <w:r w:rsidRPr="00CD0C9C">
        <w:rPr>
          <w:rFonts w:ascii="Arial" w:eastAsia="宋体" w:hAnsi="Arial" w:cs="Arial"/>
          <w:color w:val="333333"/>
          <w:kern w:val="0"/>
          <w:szCs w:val="21"/>
        </w:rPr>
        <w:t>以内；对于基础研究类、软科学类和软件开发类等项目（课题），劳务费支出总额控制在申请专项经费支出总额的</w:t>
      </w:r>
      <w:r w:rsidRPr="00CD0C9C">
        <w:rPr>
          <w:rFonts w:ascii="Arial" w:eastAsia="宋体" w:hAnsi="Arial" w:cs="Arial"/>
          <w:color w:val="333333"/>
          <w:kern w:val="0"/>
          <w:szCs w:val="21"/>
        </w:rPr>
        <w:t>50%</w:t>
      </w:r>
      <w:r w:rsidRPr="00CD0C9C">
        <w:rPr>
          <w:rFonts w:ascii="Arial" w:eastAsia="宋体" w:hAnsi="Arial" w:cs="Arial"/>
          <w:color w:val="333333"/>
          <w:kern w:val="0"/>
          <w:szCs w:val="21"/>
        </w:rPr>
        <w:t>以内。其中劳务费支出标准应控制在</w:t>
      </w:r>
      <w:r w:rsidRPr="00CD0C9C">
        <w:rPr>
          <w:rFonts w:ascii="Arial" w:eastAsia="宋体" w:hAnsi="Arial" w:cs="Arial"/>
          <w:color w:val="333333"/>
          <w:kern w:val="0"/>
          <w:szCs w:val="21"/>
        </w:rPr>
        <w:t>8000</w:t>
      </w:r>
      <w:r w:rsidRPr="00CD0C9C">
        <w:rPr>
          <w:rFonts w:ascii="Arial" w:eastAsia="宋体" w:hAnsi="Arial" w:cs="Arial"/>
          <w:color w:val="333333"/>
          <w:kern w:val="0"/>
          <w:szCs w:val="21"/>
        </w:rPr>
        <w:t>元</w:t>
      </w:r>
      <w:r w:rsidRPr="00CD0C9C">
        <w:rPr>
          <w:rFonts w:ascii="Arial" w:eastAsia="宋体" w:hAnsi="Arial" w:cs="Arial"/>
          <w:color w:val="333333"/>
          <w:kern w:val="0"/>
          <w:szCs w:val="21"/>
        </w:rPr>
        <w:t>/</w:t>
      </w:r>
      <w:r w:rsidRPr="00CD0C9C">
        <w:rPr>
          <w:rFonts w:ascii="Arial" w:eastAsia="宋体" w:hAnsi="Arial" w:cs="Arial"/>
          <w:color w:val="333333"/>
          <w:kern w:val="0"/>
          <w:szCs w:val="21"/>
        </w:rPr>
        <w:t>人月以内。引进人才以及临时聘用人员的支出标准在不突破该项目（课题）劳务费支出总额的前提下，由项目（课题）承担单位编制确定。通过公开竞标获得的科研项目，劳务费不计入单位绩效工资总量。</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八）专家咨询费：是指在项目（课题）实施过程中支付给临时聘请的咨询专家的费用。专家咨询费不得支付给参与项目（课题）研究及其管理相关的工作人员。专家咨询费的开支标准应当按照国家及本市有关规定执行。</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（九）其他费用：是指在项目（课题）实施过程中发生的除上述费用之外的其它支出，应当在申请预算时单独列示，单独核定。</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第十一条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间接费用是指承担单位在组织实施项目（课题）过程中发生的无法在直接费用中列支的相关费用。主要包括承担单位为项目（课题）研究发生的现有仪器设备及房屋摊销费，水、电、气、暖消耗费，有关管理费用的补助支出以及绩效支出等。</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申请资助的间接费用总额不得超过专项经费直接费用的</w:t>
      </w:r>
      <w:r w:rsidRPr="00CD0C9C">
        <w:rPr>
          <w:rFonts w:ascii="Arial" w:eastAsia="宋体" w:hAnsi="Arial" w:cs="Arial"/>
          <w:color w:val="333333"/>
          <w:kern w:val="0"/>
          <w:szCs w:val="21"/>
        </w:rPr>
        <w:t>12%</w:t>
      </w:r>
      <w:r w:rsidRPr="00CD0C9C">
        <w:rPr>
          <w:rFonts w:ascii="Arial" w:eastAsia="宋体" w:hAnsi="Arial" w:cs="Arial"/>
          <w:color w:val="333333"/>
          <w:kern w:val="0"/>
          <w:szCs w:val="21"/>
        </w:rPr>
        <w:t>。</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间接费用应纳入单位财务统一管理，统筹安排使用。承担单位应当健全间接费用的内部管理办法，公开透明、合规合理使用间接费用，处理好分摊间接成本和对科研人员激励的关系，绩效支出安排应当与科研人员在项目工作中的实际贡献挂钩。承担单位不得在核定的间接费用以外再以任何名义在专项经费中重复提取、列支相关费用。</w:t>
      </w:r>
    </w:p>
    <w:p w:rsidR="00CD0C9C" w:rsidRPr="00CD0C9C" w:rsidRDefault="00CD0C9C" w:rsidP="00CD0C9C">
      <w:pPr>
        <w:widowControl/>
        <w:shd w:val="clear" w:color="auto" w:fill="FFFFFF"/>
        <w:spacing w:line="480" w:lineRule="atLeast"/>
        <w:ind w:left="300" w:right="300"/>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p>
    <w:p w:rsidR="00CD0C9C" w:rsidRPr="00CD0C9C" w:rsidRDefault="00CD0C9C" w:rsidP="00CD0C9C">
      <w:pPr>
        <w:widowControl/>
        <w:shd w:val="clear" w:color="auto" w:fill="FFFFFF"/>
        <w:spacing w:line="378" w:lineRule="atLeast"/>
        <w:jc w:val="center"/>
        <w:rPr>
          <w:rFonts w:ascii="Arial" w:eastAsia="宋体" w:hAnsi="Arial" w:cs="Arial"/>
          <w:color w:val="333333"/>
          <w:kern w:val="0"/>
          <w:szCs w:val="21"/>
        </w:rPr>
      </w:pPr>
      <w:r w:rsidRPr="00CD0C9C">
        <w:rPr>
          <w:rFonts w:ascii="Arial" w:eastAsia="宋体" w:hAnsi="Arial" w:cs="Arial"/>
          <w:color w:val="333333"/>
          <w:kern w:val="0"/>
          <w:szCs w:val="21"/>
        </w:rPr>
        <w:t>第三章</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项目（课题）经费管理</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第十二条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项目（课题）预算包括收入预算和支出预算，收入预算和支出预算应做到收支平衡。收入预算包括专项经费和自筹经费。自筹经费应为单位自有的货币资金。有自筹经费来源的，应当提供经费来源证明及其他相关财务资料。支出预算应当按照经费开支范围确定的支出科目和不同经费来源编列。同一支出内容一般不得同时列支专项经费和自筹经费。</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第十三条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项目下设课题的，每个课题承担单位均需按预算编制的要求单独编制各自的课题预算，项目承担单位将所有课题预算审核汇总后形成项目预算。</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第十四条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通过立项评审且申请专项经费达到一定金额的项目，在任务书填报完成后，市科委委托第三方评估机构或组织专家对该项目（含下设课题）进行预算评估评审。预算评估评审应当按照本市有关规定执行。</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第十五条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项目（课题）预算按规定程序审核通过后，市科委与承担单位签订合同和任务书，项目（课题）预算作为合同和任务书的组成部分，是预算执行和监督检查的重要依据。</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第十六条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市科委根据合同和任务书确定的拨款计划及任务实际完成进度向市财政局申请拨款，市财政局按照市级财政资金国库集中支付的有关规定拨付经费。</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项目牵头承担单位应当根据合同和任务书确定的拨款计划及时向课题承担单位拨付经费。课题承担单位不得再向外转拨经费。</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项目牵头单位不得擅自拖延经费拨付，对于出现上述情况的单位，市科委将采取约谈、暂停项目后续拨款等措施。</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第十七条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承担单位应严格按合同和任务书规定的预算内容执行，确有必要调整时，应按以下程序办理：</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（一）项目（课题）预算总额调整，承担单位变更等应当报市科委批准。</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（二）项目（课题）总预算不变，设备费预算总额调增、新增且单台</w:t>
      </w:r>
      <w:r w:rsidRPr="00CD0C9C">
        <w:rPr>
          <w:rFonts w:ascii="Arial" w:eastAsia="宋体" w:hAnsi="Arial" w:cs="Arial"/>
          <w:color w:val="333333"/>
          <w:kern w:val="0"/>
          <w:szCs w:val="21"/>
        </w:rPr>
        <w:t>/</w:t>
      </w:r>
      <w:r w:rsidRPr="00CD0C9C">
        <w:rPr>
          <w:rFonts w:ascii="Arial" w:eastAsia="宋体" w:hAnsi="Arial" w:cs="Arial"/>
          <w:color w:val="333333"/>
          <w:kern w:val="0"/>
          <w:szCs w:val="21"/>
        </w:rPr>
        <w:t>套</w:t>
      </w:r>
      <w:r w:rsidRPr="00CD0C9C">
        <w:rPr>
          <w:rFonts w:ascii="Arial" w:eastAsia="宋体" w:hAnsi="Arial" w:cs="Arial"/>
          <w:color w:val="333333"/>
          <w:kern w:val="0"/>
          <w:szCs w:val="21"/>
        </w:rPr>
        <w:t>/</w:t>
      </w:r>
      <w:r w:rsidRPr="00CD0C9C">
        <w:rPr>
          <w:rFonts w:ascii="Arial" w:eastAsia="宋体" w:hAnsi="Arial" w:cs="Arial"/>
          <w:color w:val="333333"/>
          <w:kern w:val="0"/>
          <w:szCs w:val="21"/>
        </w:rPr>
        <w:t>件价格在</w:t>
      </w:r>
      <w:r w:rsidRPr="00CD0C9C">
        <w:rPr>
          <w:rFonts w:ascii="Arial" w:eastAsia="宋体" w:hAnsi="Arial" w:cs="Arial"/>
          <w:color w:val="333333"/>
          <w:kern w:val="0"/>
          <w:szCs w:val="21"/>
        </w:rPr>
        <w:t>50</w:t>
      </w:r>
      <w:r w:rsidRPr="00CD0C9C">
        <w:rPr>
          <w:rFonts w:ascii="Arial" w:eastAsia="宋体" w:hAnsi="Arial" w:cs="Arial"/>
          <w:color w:val="333333"/>
          <w:kern w:val="0"/>
          <w:szCs w:val="21"/>
        </w:rPr>
        <w:t>万元以上设备预算调整应当报市科委批准。因项目（课题）研究需要，其他设备费预算需要调整的，由项目（课题）责任人根据项目（课题）研究需要提出申请，由承担单位法定代表人或其授权的相关负责人负责审批。设备费预算如有调减的，调减的经费可调剂用于材料费、测试化验加工费、燃料动力费、出版</w:t>
      </w:r>
      <w:r w:rsidRPr="00CD0C9C">
        <w:rPr>
          <w:rFonts w:ascii="Arial" w:eastAsia="宋体" w:hAnsi="Arial" w:cs="Arial"/>
          <w:color w:val="333333"/>
          <w:kern w:val="0"/>
          <w:szCs w:val="21"/>
        </w:rPr>
        <w:t>/</w:t>
      </w:r>
      <w:r w:rsidRPr="00CD0C9C">
        <w:rPr>
          <w:rFonts w:ascii="Arial" w:eastAsia="宋体" w:hAnsi="Arial" w:cs="Arial"/>
          <w:color w:val="333333"/>
          <w:kern w:val="0"/>
          <w:szCs w:val="21"/>
        </w:rPr>
        <w:t>文献</w:t>
      </w:r>
      <w:r w:rsidRPr="00CD0C9C">
        <w:rPr>
          <w:rFonts w:ascii="Arial" w:eastAsia="宋体" w:hAnsi="Arial" w:cs="Arial"/>
          <w:color w:val="333333"/>
          <w:kern w:val="0"/>
          <w:szCs w:val="21"/>
        </w:rPr>
        <w:t>/</w:t>
      </w:r>
      <w:r w:rsidRPr="00CD0C9C">
        <w:rPr>
          <w:rFonts w:ascii="Arial" w:eastAsia="宋体" w:hAnsi="Arial" w:cs="Arial"/>
          <w:color w:val="333333"/>
          <w:kern w:val="0"/>
          <w:szCs w:val="21"/>
        </w:rPr>
        <w:t>信息传播</w:t>
      </w:r>
      <w:r w:rsidRPr="00CD0C9C">
        <w:rPr>
          <w:rFonts w:ascii="Arial" w:eastAsia="宋体" w:hAnsi="Arial" w:cs="Arial"/>
          <w:color w:val="333333"/>
          <w:kern w:val="0"/>
          <w:szCs w:val="21"/>
        </w:rPr>
        <w:t>/</w:t>
      </w:r>
      <w:r w:rsidRPr="00CD0C9C">
        <w:rPr>
          <w:rFonts w:ascii="Arial" w:eastAsia="宋体" w:hAnsi="Arial" w:cs="Arial"/>
          <w:color w:val="333333"/>
          <w:kern w:val="0"/>
          <w:szCs w:val="21"/>
        </w:rPr>
        <w:t>知识产权事务费方面的支出。差旅</w:t>
      </w:r>
      <w:r w:rsidRPr="00CD0C9C">
        <w:rPr>
          <w:rFonts w:ascii="Arial" w:eastAsia="宋体" w:hAnsi="Arial" w:cs="Arial"/>
          <w:color w:val="333333"/>
          <w:kern w:val="0"/>
          <w:szCs w:val="21"/>
        </w:rPr>
        <w:t>/</w:t>
      </w:r>
      <w:r w:rsidRPr="00CD0C9C">
        <w:rPr>
          <w:rFonts w:ascii="Arial" w:eastAsia="宋体" w:hAnsi="Arial" w:cs="Arial"/>
          <w:color w:val="333333"/>
          <w:kern w:val="0"/>
          <w:szCs w:val="21"/>
        </w:rPr>
        <w:t>会议</w:t>
      </w:r>
      <w:r w:rsidRPr="00CD0C9C">
        <w:rPr>
          <w:rFonts w:ascii="Arial" w:eastAsia="宋体" w:hAnsi="Arial" w:cs="Arial"/>
          <w:color w:val="333333"/>
          <w:kern w:val="0"/>
          <w:szCs w:val="21"/>
        </w:rPr>
        <w:t>/</w:t>
      </w:r>
      <w:r w:rsidRPr="00CD0C9C">
        <w:rPr>
          <w:rFonts w:ascii="Arial" w:eastAsia="宋体" w:hAnsi="Arial" w:cs="Arial"/>
          <w:color w:val="333333"/>
          <w:kern w:val="0"/>
          <w:szCs w:val="21"/>
        </w:rPr>
        <w:t>国际合作与交流费、劳务费、专家咨询费和间接费用预算不得调增，如有调减可按上述程序调剂用于项目（课题）其他方面支出。</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（三）项目（课题）总预算不变，直接费用中的材料费、测试化验加工费、燃料动力费、出版</w:t>
      </w:r>
      <w:r w:rsidRPr="00CD0C9C">
        <w:rPr>
          <w:rFonts w:ascii="Arial" w:eastAsia="宋体" w:hAnsi="Arial" w:cs="Arial"/>
          <w:color w:val="333333"/>
          <w:kern w:val="0"/>
          <w:szCs w:val="21"/>
        </w:rPr>
        <w:t>/</w:t>
      </w:r>
      <w:r w:rsidRPr="00CD0C9C">
        <w:rPr>
          <w:rFonts w:ascii="Arial" w:eastAsia="宋体" w:hAnsi="Arial" w:cs="Arial"/>
          <w:color w:val="333333"/>
          <w:kern w:val="0"/>
          <w:szCs w:val="21"/>
        </w:rPr>
        <w:t>文献</w:t>
      </w:r>
      <w:r w:rsidRPr="00CD0C9C">
        <w:rPr>
          <w:rFonts w:ascii="Arial" w:eastAsia="宋体" w:hAnsi="Arial" w:cs="Arial"/>
          <w:color w:val="333333"/>
          <w:kern w:val="0"/>
          <w:szCs w:val="21"/>
        </w:rPr>
        <w:t>/</w:t>
      </w:r>
      <w:r w:rsidRPr="00CD0C9C">
        <w:rPr>
          <w:rFonts w:ascii="Arial" w:eastAsia="宋体" w:hAnsi="Arial" w:cs="Arial"/>
          <w:color w:val="333333"/>
          <w:kern w:val="0"/>
          <w:szCs w:val="21"/>
        </w:rPr>
        <w:t>信息传播</w:t>
      </w:r>
      <w:r w:rsidRPr="00CD0C9C">
        <w:rPr>
          <w:rFonts w:ascii="Arial" w:eastAsia="宋体" w:hAnsi="Arial" w:cs="Arial"/>
          <w:color w:val="333333"/>
          <w:kern w:val="0"/>
          <w:szCs w:val="21"/>
        </w:rPr>
        <w:t>/</w:t>
      </w:r>
      <w:r w:rsidRPr="00CD0C9C">
        <w:rPr>
          <w:rFonts w:ascii="Arial" w:eastAsia="宋体" w:hAnsi="Arial" w:cs="Arial"/>
          <w:color w:val="333333"/>
          <w:kern w:val="0"/>
          <w:szCs w:val="21"/>
        </w:rPr>
        <w:t>知识产权事务费、其他支出预算如需调整的，由项目（课题）责任人根据实施过程中科研活动的实际需要提出申请，由承担单位法定代表人或其授权的相关负责人负责审批。</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第十八条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在研项目（课题）年度结存经费留由承担单位结转下一年度按规定继续使用。</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第十九条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项目（课题）因故终止，承担单位财务部门应及时清理账目与资产，编制财务报告及资产清单，由承担单位向市科委提出申请，市科委组织进行清查处理，并停拨经费。</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项目完成后，对专项经费资助达到一定金额或影响重大的项目，市科委组织财务验收。项目通过财务验收，项目结余资金在</w:t>
      </w:r>
      <w:r w:rsidRPr="00CD0C9C">
        <w:rPr>
          <w:rFonts w:ascii="Arial" w:eastAsia="宋体" w:hAnsi="Arial" w:cs="Arial"/>
          <w:color w:val="333333"/>
          <w:kern w:val="0"/>
          <w:szCs w:val="21"/>
        </w:rPr>
        <w:t>2</w:t>
      </w:r>
      <w:r w:rsidRPr="00CD0C9C">
        <w:rPr>
          <w:rFonts w:ascii="Arial" w:eastAsia="宋体" w:hAnsi="Arial" w:cs="Arial"/>
          <w:color w:val="333333"/>
          <w:kern w:val="0"/>
          <w:szCs w:val="21"/>
        </w:rPr>
        <w:t>年内由承担单位统筹安排用于科研活动的直接支出，但不得用于有工资性收入人员的劳务费；</w:t>
      </w:r>
      <w:r w:rsidRPr="00CD0C9C">
        <w:rPr>
          <w:rFonts w:ascii="Arial" w:eastAsia="宋体" w:hAnsi="Arial" w:cs="Arial"/>
          <w:color w:val="333333"/>
          <w:kern w:val="0"/>
          <w:szCs w:val="21"/>
        </w:rPr>
        <w:t>2</w:t>
      </w:r>
      <w:r w:rsidRPr="00CD0C9C">
        <w:rPr>
          <w:rFonts w:ascii="Arial" w:eastAsia="宋体" w:hAnsi="Arial" w:cs="Arial"/>
          <w:color w:val="333333"/>
          <w:kern w:val="0"/>
          <w:szCs w:val="21"/>
        </w:rPr>
        <w:t>年后未使用完的，按原渠道收回；对未通过财务验收或整改后通过财务验收的项目，结余资金按原渠道收回，项目尾款不再拨付。财务验收应当按照本市有关规定执行。</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第二十一条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项目确需延期验收的，承担单位一般应在合同和计划任务书规定的完成日</w:t>
      </w:r>
      <w:r w:rsidRPr="00CD0C9C">
        <w:rPr>
          <w:rFonts w:ascii="Arial" w:eastAsia="宋体" w:hAnsi="Arial" w:cs="Arial"/>
          <w:color w:val="333333"/>
          <w:kern w:val="0"/>
          <w:szCs w:val="21"/>
        </w:rPr>
        <w:t>3</w:t>
      </w:r>
      <w:r w:rsidRPr="00CD0C9C">
        <w:rPr>
          <w:rFonts w:ascii="Arial" w:eastAsia="宋体" w:hAnsi="Arial" w:cs="Arial"/>
          <w:color w:val="333333"/>
          <w:kern w:val="0"/>
          <w:szCs w:val="21"/>
        </w:rPr>
        <w:t>个月前向市科委提出书面申请，经市科委批准后方可延期。未经批准，仍以合同和计划任务书规定的完成日为项目（课题）终止日。</w:t>
      </w:r>
    </w:p>
    <w:p w:rsidR="00CD0C9C" w:rsidRPr="00CD0C9C" w:rsidRDefault="00CD0C9C" w:rsidP="00CD0C9C">
      <w:pPr>
        <w:widowControl/>
        <w:shd w:val="clear" w:color="auto" w:fill="FFFFFF"/>
        <w:spacing w:line="480" w:lineRule="atLeast"/>
        <w:ind w:left="300" w:right="300"/>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p>
    <w:p w:rsidR="00CD0C9C" w:rsidRPr="00CD0C9C" w:rsidRDefault="00CD0C9C" w:rsidP="00CD0C9C">
      <w:pPr>
        <w:widowControl/>
        <w:shd w:val="clear" w:color="auto" w:fill="FFFFFF"/>
        <w:spacing w:line="378" w:lineRule="atLeast"/>
        <w:jc w:val="center"/>
        <w:rPr>
          <w:rFonts w:ascii="Arial" w:eastAsia="宋体" w:hAnsi="Arial" w:cs="Arial"/>
          <w:color w:val="333333"/>
          <w:kern w:val="0"/>
          <w:szCs w:val="21"/>
        </w:rPr>
      </w:pPr>
      <w:r w:rsidRPr="00CD0C9C">
        <w:rPr>
          <w:rFonts w:ascii="Arial" w:eastAsia="宋体" w:hAnsi="Arial" w:cs="Arial"/>
          <w:color w:val="333333"/>
          <w:kern w:val="0"/>
          <w:szCs w:val="21"/>
        </w:rPr>
        <w:t>第四章</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监</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督</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管</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理</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第二十二条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市财政局、市科委负责对项目（课题）的预算编制、经费拨付和使用等情况进行审核，通过专项审计、财务验收、绩效评价等多种方式实施监督检查，并主动接受市人大和社会的监督。监督检查的结果，将作为核拨项目（课题）经费和今后立项支持的重要依据。</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第二十三条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承担单位是项目（课题）经费管理和使用的责任主体，具体管理工作应按以下规定实施：</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（一）建立健全项目（课题）经费管理制度，完善内部控制和监督制约机制，认真行使经费管理、审核和监督权，对本单位使用、外拨经费情况实行有效监管；按照国家和本市有关规定加强间接费用的管理；</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二）按照本办法的预算编制要求，完成项目（课题）经费的预算编报工作，认真做好预算编制阶段的咨询服务和审核把关，在经费管理和使用方面为科研人员提供必要的政策咨询、培训支撑等相关服务；采取有效措施为科研、财务、行政等管理部门对项目（课题）的实施提供全面支撑，积极推动本单位现有仪器设备等科研条件的开放共享；</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（三）严格按照预算的开支标准和范围使用项目（课题）经费，严禁用于支付各种罚款、捐款、赞助和投资等，严禁以任何方式变相谋取私利；</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四）对专项经费和自筹经费分别进行单独核算，积极开展项目（课题）经费管理和使用情况的自查，制定并严格执行项目（课题）预算调整审批程序，配合做好预算评估评审、审计、验收与绩效评价等有关工作；</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（五）认真审核验收材料，按时提出验收申请，及时制定和落实整改措施，按规定办理财务结账手续，按照国家和本市有关规定加强结余经费的管理等。</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（六）要建立健全科研财务助理制度，为科研人员在项目（课题）预算编制和调剂、经费支出、财务决算和验收等方面提供专业化服务。</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（七）应当严格执行国家有关支出管理制度，对应当实行</w:t>
      </w:r>
      <w:r w:rsidRPr="00CD0C9C">
        <w:rPr>
          <w:rFonts w:ascii="Arial" w:eastAsia="宋体" w:hAnsi="Arial" w:cs="Arial"/>
          <w:color w:val="333333"/>
          <w:kern w:val="0"/>
          <w:szCs w:val="21"/>
        </w:rPr>
        <w:t>“</w:t>
      </w:r>
      <w:r w:rsidRPr="00CD0C9C">
        <w:rPr>
          <w:rFonts w:ascii="Arial" w:eastAsia="宋体" w:hAnsi="Arial" w:cs="Arial"/>
          <w:color w:val="333333"/>
          <w:kern w:val="0"/>
          <w:szCs w:val="21"/>
        </w:rPr>
        <w:t>公务卡</w:t>
      </w:r>
      <w:r w:rsidRPr="00CD0C9C">
        <w:rPr>
          <w:rFonts w:ascii="Arial" w:eastAsia="宋体" w:hAnsi="Arial" w:cs="Arial"/>
          <w:color w:val="333333"/>
          <w:kern w:val="0"/>
          <w:szCs w:val="21"/>
        </w:rPr>
        <w:t>”</w:t>
      </w:r>
      <w:r w:rsidRPr="00CD0C9C">
        <w:rPr>
          <w:rFonts w:ascii="Arial" w:eastAsia="宋体" w:hAnsi="Arial" w:cs="Arial"/>
          <w:color w:val="333333"/>
          <w:kern w:val="0"/>
          <w:szCs w:val="21"/>
        </w:rPr>
        <w:t>结算的支出，按照上海市财政科研项目使用公务卡结算的有关规定执行。制定符合科研实际需要的内部报销规定，对野外考察、心理测试等科研活动中无法取得发票或者财政性票据的，在确保真实性的前提下，可按实际发生额予以报销。</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第二十四条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承担单位在项目（课题）经费使用和管理中，存在下列行为之一的，不得通过财务验收：</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（一）未对项目（课题）专项经费进行单独核算。</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（二）编报虚假预算、套取国家财政资金。</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（三）截留、挤占、挪用项目（课题）经费。</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（四）违反规定转拨、转移项目（课题）经费。</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（五）未获市科委批准擅自变更项目（课题）承担主体。</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（六）提供虚假财务会计信息，虚列支出。</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（七）虚假承诺、单位自筹资金不到位。</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（八）未按规定执行和调整预算。</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（九）经费管理使用存在违规问题拒不整改。</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（十）其他违反国家财经纪律的行为。</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第二十五条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承担单位存在第二十四条所述违规行为的，市科委、市财政局等部门将视情节轻重采取约谈、通报批评、暂停项目拨款、终止项目执行、追回已拨资金、阶段性或永久取消项目承担者项目申报资格等措施，并将有关结果向社会公开。对弄虚作假、截留、挪用等违反国家法律法规的行为，将按照《财政违法行为处罚处分条例》（国务院令〔</w:t>
      </w:r>
      <w:r w:rsidRPr="00CD0C9C">
        <w:rPr>
          <w:rFonts w:ascii="Arial" w:eastAsia="宋体" w:hAnsi="Arial" w:cs="Arial"/>
          <w:color w:val="333333"/>
          <w:kern w:val="0"/>
          <w:szCs w:val="21"/>
        </w:rPr>
        <w:t>2005</w:t>
      </w:r>
      <w:r w:rsidRPr="00CD0C9C">
        <w:rPr>
          <w:rFonts w:ascii="Arial" w:eastAsia="宋体" w:hAnsi="Arial" w:cs="Arial"/>
          <w:color w:val="333333"/>
          <w:kern w:val="0"/>
          <w:szCs w:val="21"/>
        </w:rPr>
        <w:t>〕第</w:t>
      </w:r>
      <w:r w:rsidRPr="00CD0C9C">
        <w:rPr>
          <w:rFonts w:ascii="Arial" w:eastAsia="宋体" w:hAnsi="Arial" w:cs="Arial"/>
          <w:color w:val="333333"/>
          <w:kern w:val="0"/>
          <w:szCs w:val="21"/>
        </w:rPr>
        <w:t>427</w:t>
      </w:r>
      <w:r w:rsidRPr="00CD0C9C">
        <w:rPr>
          <w:rFonts w:ascii="Arial" w:eastAsia="宋体" w:hAnsi="Arial" w:cs="Arial"/>
          <w:color w:val="333333"/>
          <w:kern w:val="0"/>
          <w:szCs w:val="21"/>
        </w:rPr>
        <w:t>号）等相关法律法规进行处理。涉嫌犯罪的，移送司法机关处理。</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第二十六条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建立专项经费信用管理机制。市科委对承担单位、项目（课题）责任人、专业机构、专家等在专项经费使用和管理工作中的诚信进行记录，作为今后参加项目（课题）申报和管理等活动的重要依据。</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第二十七条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建立专项经费信息公开机制。市科委积极推进项目（课题）的基本信息、监督检查和评估评审结果等与本市相关政府管理部门共享，并按本市信息公开的有关要求做好信息公开工作。</w:t>
      </w:r>
    </w:p>
    <w:p w:rsidR="00CD0C9C" w:rsidRPr="00CD0C9C" w:rsidRDefault="00CD0C9C" w:rsidP="00CD0C9C">
      <w:pPr>
        <w:widowControl/>
        <w:shd w:val="clear" w:color="auto" w:fill="FFFFFF"/>
        <w:spacing w:line="480" w:lineRule="atLeast"/>
        <w:ind w:left="300" w:right="300"/>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p>
    <w:p w:rsidR="00CD0C9C" w:rsidRPr="00CD0C9C" w:rsidRDefault="00CD0C9C" w:rsidP="00CD0C9C">
      <w:pPr>
        <w:widowControl/>
        <w:shd w:val="clear" w:color="auto" w:fill="FFFFFF"/>
        <w:spacing w:line="378" w:lineRule="atLeast"/>
        <w:jc w:val="center"/>
        <w:rPr>
          <w:rFonts w:ascii="Arial" w:eastAsia="宋体" w:hAnsi="Arial" w:cs="Arial"/>
          <w:color w:val="333333"/>
          <w:kern w:val="0"/>
          <w:szCs w:val="21"/>
        </w:rPr>
      </w:pPr>
      <w:r w:rsidRPr="00CD0C9C">
        <w:rPr>
          <w:rFonts w:ascii="Arial" w:eastAsia="宋体" w:hAnsi="Arial" w:cs="Arial"/>
          <w:color w:val="333333"/>
          <w:kern w:val="0"/>
          <w:szCs w:val="21"/>
        </w:rPr>
        <w:t>第五章</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附</w:t>
      </w:r>
      <w:r w:rsidRPr="00CD0C9C">
        <w:rPr>
          <w:rFonts w:ascii="Arial" w:eastAsia="宋体" w:hAnsi="Arial" w:cs="Arial"/>
          <w:color w:val="333333"/>
          <w:kern w:val="0"/>
          <w:szCs w:val="21"/>
        </w:rPr>
        <w:t xml:space="preserve">      </w:t>
      </w:r>
      <w:r w:rsidRPr="00CD0C9C">
        <w:rPr>
          <w:rFonts w:ascii="Arial" w:eastAsia="宋体" w:hAnsi="Arial" w:cs="Arial"/>
          <w:color w:val="333333"/>
          <w:kern w:val="0"/>
          <w:szCs w:val="21"/>
        </w:rPr>
        <w:t>则</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第二十八条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专项经费使用中涉及政府采购的，按照政府采购有关规定执行。</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第二十九条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行政事业单位使用专项经费形成的固定资产属国有资产，应当按照国家和本市有关国有资产管理的规定执行。企业使用专项经费形成的固定资产，按照《企业财务通则》等相关规章制度执行。专项经费形成的知识产权等无形资产的管理，按照国家和本市有关规定执行。</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第三十条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专项经费形成的大型科学仪器设备、科学数据、自然科技资源等，在保障有关参与单位合法权益的基础上，按照国家和本市有关规定开放共享，以减少重复浪费，提高资源利用效率。</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第三十一条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本办法由市财政局和市科委共同负责解释。</w:t>
      </w:r>
    </w:p>
    <w:p w:rsidR="00CD0C9C" w:rsidRPr="00CD0C9C" w:rsidRDefault="00CD0C9C" w:rsidP="00CD0C9C">
      <w:pPr>
        <w:widowControl/>
        <w:shd w:val="clear" w:color="auto" w:fill="FFFFFF"/>
        <w:spacing w:line="378" w:lineRule="atLeast"/>
        <w:jc w:val="left"/>
        <w:rPr>
          <w:rFonts w:ascii="Arial" w:eastAsia="宋体" w:hAnsi="Arial" w:cs="Arial"/>
          <w:color w:val="333333"/>
          <w:kern w:val="0"/>
          <w:szCs w:val="21"/>
        </w:rPr>
      </w:pPr>
      <w:r w:rsidRPr="00CD0C9C">
        <w:rPr>
          <w:rFonts w:ascii="Arial" w:eastAsia="宋体" w:hAnsi="Arial" w:cs="Arial"/>
          <w:color w:val="333333"/>
          <w:kern w:val="0"/>
          <w:szCs w:val="21"/>
        </w:rPr>
        <w:t xml:space="preserve">　　</w:t>
      </w:r>
      <w:r w:rsidRPr="00CD0C9C">
        <w:rPr>
          <w:rFonts w:ascii="Arial" w:eastAsia="宋体" w:hAnsi="Arial" w:cs="Arial"/>
          <w:b/>
          <w:bCs/>
          <w:color w:val="333333"/>
          <w:kern w:val="0"/>
          <w:szCs w:val="21"/>
        </w:rPr>
        <w:t>第三十二条</w:t>
      </w:r>
      <w:r w:rsidRPr="00CD0C9C">
        <w:rPr>
          <w:rFonts w:ascii="Arial" w:eastAsia="宋体" w:hAnsi="Arial" w:cs="Arial"/>
          <w:color w:val="333333"/>
          <w:kern w:val="0"/>
        </w:rPr>
        <w:t> </w:t>
      </w:r>
      <w:r w:rsidRPr="00CD0C9C">
        <w:rPr>
          <w:rFonts w:ascii="Arial" w:eastAsia="宋体" w:hAnsi="Arial" w:cs="Arial"/>
          <w:color w:val="333333"/>
          <w:kern w:val="0"/>
          <w:szCs w:val="21"/>
        </w:rPr>
        <w:t> </w:t>
      </w:r>
      <w:r w:rsidRPr="00CD0C9C">
        <w:rPr>
          <w:rFonts w:ascii="Arial" w:eastAsia="宋体" w:hAnsi="Arial" w:cs="Arial"/>
          <w:color w:val="333333"/>
          <w:kern w:val="0"/>
          <w:szCs w:val="21"/>
        </w:rPr>
        <w:t>本办法自</w:t>
      </w:r>
      <w:r w:rsidRPr="00CD0C9C">
        <w:rPr>
          <w:rFonts w:ascii="Arial" w:eastAsia="宋体" w:hAnsi="Arial" w:cs="Arial"/>
          <w:color w:val="333333"/>
          <w:kern w:val="0"/>
          <w:szCs w:val="21"/>
        </w:rPr>
        <w:t>2018</w:t>
      </w:r>
      <w:r w:rsidRPr="00CD0C9C">
        <w:rPr>
          <w:rFonts w:ascii="Arial" w:eastAsia="宋体" w:hAnsi="Arial" w:cs="Arial"/>
          <w:color w:val="333333"/>
          <w:kern w:val="0"/>
          <w:szCs w:val="21"/>
        </w:rPr>
        <w:t>年</w:t>
      </w:r>
      <w:r w:rsidRPr="00CD0C9C">
        <w:rPr>
          <w:rFonts w:ascii="Arial" w:eastAsia="宋体" w:hAnsi="Arial" w:cs="Arial"/>
          <w:color w:val="333333"/>
          <w:kern w:val="0"/>
          <w:szCs w:val="21"/>
        </w:rPr>
        <w:t>1</w:t>
      </w:r>
      <w:r w:rsidRPr="00CD0C9C">
        <w:rPr>
          <w:rFonts w:ascii="Arial" w:eastAsia="宋体" w:hAnsi="Arial" w:cs="Arial"/>
          <w:color w:val="333333"/>
          <w:kern w:val="0"/>
          <w:szCs w:val="21"/>
        </w:rPr>
        <w:t>月</w:t>
      </w:r>
      <w:r w:rsidRPr="00CD0C9C">
        <w:rPr>
          <w:rFonts w:ascii="Arial" w:eastAsia="宋体" w:hAnsi="Arial" w:cs="Arial"/>
          <w:color w:val="333333"/>
          <w:kern w:val="0"/>
          <w:szCs w:val="21"/>
        </w:rPr>
        <w:t>1</w:t>
      </w:r>
      <w:r w:rsidRPr="00CD0C9C">
        <w:rPr>
          <w:rFonts w:ascii="Arial" w:eastAsia="宋体" w:hAnsi="Arial" w:cs="Arial"/>
          <w:color w:val="333333"/>
          <w:kern w:val="0"/>
          <w:szCs w:val="21"/>
        </w:rPr>
        <w:t>日起施行，有效期至</w:t>
      </w:r>
      <w:r w:rsidRPr="00CD0C9C">
        <w:rPr>
          <w:rFonts w:ascii="Arial" w:eastAsia="宋体" w:hAnsi="Arial" w:cs="Arial"/>
          <w:color w:val="333333"/>
          <w:kern w:val="0"/>
          <w:szCs w:val="21"/>
        </w:rPr>
        <w:t>2022</w:t>
      </w:r>
      <w:r w:rsidRPr="00CD0C9C">
        <w:rPr>
          <w:rFonts w:ascii="Arial" w:eastAsia="宋体" w:hAnsi="Arial" w:cs="Arial"/>
          <w:color w:val="333333"/>
          <w:kern w:val="0"/>
          <w:szCs w:val="21"/>
        </w:rPr>
        <w:t>年</w:t>
      </w:r>
      <w:r w:rsidRPr="00CD0C9C">
        <w:rPr>
          <w:rFonts w:ascii="Arial" w:eastAsia="宋体" w:hAnsi="Arial" w:cs="Arial"/>
          <w:color w:val="333333"/>
          <w:kern w:val="0"/>
          <w:szCs w:val="21"/>
        </w:rPr>
        <w:t>12</w:t>
      </w:r>
      <w:r w:rsidRPr="00CD0C9C">
        <w:rPr>
          <w:rFonts w:ascii="Arial" w:eastAsia="宋体" w:hAnsi="Arial" w:cs="Arial"/>
          <w:color w:val="333333"/>
          <w:kern w:val="0"/>
          <w:szCs w:val="21"/>
        </w:rPr>
        <w:t>月</w:t>
      </w:r>
      <w:r w:rsidRPr="00CD0C9C">
        <w:rPr>
          <w:rFonts w:ascii="Arial" w:eastAsia="宋体" w:hAnsi="Arial" w:cs="Arial"/>
          <w:color w:val="333333"/>
          <w:kern w:val="0"/>
          <w:szCs w:val="21"/>
        </w:rPr>
        <w:t>31</w:t>
      </w:r>
      <w:r w:rsidRPr="00CD0C9C">
        <w:rPr>
          <w:rFonts w:ascii="Arial" w:eastAsia="宋体" w:hAnsi="Arial" w:cs="Arial"/>
          <w:color w:val="333333"/>
          <w:kern w:val="0"/>
          <w:szCs w:val="21"/>
        </w:rPr>
        <w:t>日，原《上海市科研计划专项经费管理办法》（沪财教〔</w:t>
      </w:r>
      <w:r w:rsidRPr="00CD0C9C">
        <w:rPr>
          <w:rFonts w:ascii="Arial" w:eastAsia="宋体" w:hAnsi="Arial" w:cs="Arial"/>
          <w:color w:val="333333"/>
          <w:kern w:val="0"/>
          <w:szCs w:val="21"/>
        </w:rPr>
        <w:t>2015</w:t>
      </w:r>
      <w:r w:rsidRPr="00CD0C9C">
        <w:rPr>
          <w:rFonts w:ascii="Arial" w:eastAsia="宋体" w:hAnsi="Arial" w:cs="Arial"/>
          <w:color w:val="333333"/>
          <w:kern w:val="0"/>
          <w:szCs w:val="21"/>
        </w:rPr>
        <w:t>〕</w:t>
      </w:r>
      <w:r w:rsidRPr="00CD0C9C">
        <w:rPr>
          <w:rFonts w:ascii="Arial" w:eastAsia="宋体" w:hAnsi="Arial" w:cs="Arial"/>
          <w:color w:val="333333"/>
          <w:kern w:val="0"/>
          <w:szCs w:val="21"/>
        </w:rPr>
        <w:t>95</w:t>
      </w:r>
      <w:r w:rsidRPr="00CD0C9C">
        <w:rPr>
          <w:rFonts w:ascii="Arial" w:eastAsia="宋体" w:hAnsi="Arial" w:cs="Arial"/>
          <w:color w:val="333333"/>
          <w:kern w:val="0"/>
          <w:szCs w:val="21"/>
        </w:rPr>
        <w:t>号）同时废止。</w:t>
      </w:r>
    </w:p>
    <w:p w:rsidR="00DC47A6" w:rsidRPr="00CD0C9C" w:rsidRDefault="00DC47A6"/>
    <w:sectPr w:rsidR="00DC47A6" w:rsidRPr="00CD0C9C" w:rsidSect="00DC47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04F" w:rsidRDefault="00E8004F" w:rsidP="00CD0C9C">
      <w:r>
        <w:separator/>
      </w:r>
    </w:p>
  </w:endnote>
  <w:endnote w:type="continuationSeparator" w:id="0">
    <w:p w:rsidR="00E8004F" w:rsidRDefault="00E8004F" w:rsidP="00CD0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04F" w:rsidRDefault="00E8004F" w:rsidP="00CD0C9C">
      <w:r>
        <w:separator/>
      </w:r>
    </w:p>
  </w:footnote>
  <w:footnote w:type="continuationSeparator" w:id="0">
    <w:p w:rsidR="00E8004F" w:rsidRDefault="00E8004F" w:rsidP="00CD0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C9C"/>
    <w:rsid w:val="00CD0C9C"/>
    <w:rsid w:val="00DC47A6"/>
    <w:rsid w:val="00E80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A6"/>
    <w:pPr>
      <w:widowControl w:val="0"/>
      <w:jc w:val="both"/>
    </w:pPr>
  </w:style>
  <w:style w:type="paragraph" w:styleId="2">
    <w:name w:val="heading 2"/>
    <w:basedOn w:val="a"/>
    <w:link w:val="2Char"/>
    <w:uiPriority w:val="9"/>
    <w:qFormat/>
    <w:rsid w:val="00CD0C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C9C"/>
    <w:rPr>
      <w:sz w:val="18"/>
      <w:szCs w:val="18"/>
    </w:rPr>
  </w:style>
  <w:style w:type="paragraph" w:styleId="a4">
    <w:name w:val="footer"/>
    <w:basedOn w:val="a"/>
    <w:link w:val="Char0"/>
    <w:uiPriority w:val="99"/>
    <w:semiHidden/>
    <w:unhideWhenUsed/>
    <w:rsid w:val="00CD0C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C9C"/>
    <w:rPr>
      <w:sz w:val="18"/>
      <w:szCs w:val="18"/>
    </w:rPr>
  </w:style>
  <w:style w:type="character" w:styleId="a5">
    <w:name w:val="Hyperlink"/>
    <w:basedOn w:val="a0"/>
    <w:uiPriority w:val="99"/>
    <w:semiHidden/>
    <w:unhideWhenUsed/>
    <w:rsid w:val="00CD0C9C"/>
    <w:rPr>
      <w:color w:val="0000FF"/>
      <w:u w:val="single"/>
    </w:rPr>
  </w:style>
  <w:style w:type="paragraph" w:styleId="a6">
    <w:name w:val="Normal (Web)"/>
    <w:basedOn w:val="a"/>
    <w:uiPriority w:val="99"/>
    <w:semiHidden/>
    <w:unhideWhenUsed/>
    <w:rsid w:val="00CD0C9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D0C9C"/>
  </w:style>
  <w:style w:type="character" w:customStyle="1" w:styleId="2Char">
    <w:name w:val="标题 2 Char"/>
    <w:basedOn w:val="a0"/>
    <w:link w:val="2"/>
    <w:uiPriority w:val="9"/>
    <w:rsid w:val="00CD0C9C"/>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173105618">
      <w:bodyDiv w:val="1"/>
      <w:marLeft w:val="0"/>
      <w:marRight w:val="0"/>
      <w:marTop w:val="0"/>
      <w:marBottom w:val="0"/>
      <w:divBdr>
        <w:top w:val="none" w:sz="0" w:space="0" w:color="auto"/>
        <w:left w:val="none" w:sz="0" w:space="0" w:color="auto"/>
        <w:bottom w:val="none" w:sz="0" w:space="0" w:color="auto"/>
        <w:right w:val="none" w:sz="0" w:space="0" w:color="auto"/>
      </w:divBdr>
      <w:divsChild>
        <w:div w:id="1991053157">
          <w:marLeft w:val="0"/>
          <w:marRight w:val="0"/>
          <w:marTop w:val="0"/>
          <w:marBottom w:val="0"/>
          <w:divBdr>
            <w:top w:val="none" w:sz="0" w:space="0" w:color="auto"/>
            <w:left w:val="none" w:sz="0" w:space="0" w:color="auto"/>
            <w:bottom w:val="none" w:sz="0" w:space="0" w:color="auto"/>
            <w:right w:val="none" w:sz="0" w:space="0" w:color="auto"/>
          </w:divBdr>
          <w:divsChild>
            <w:div w:id="517013587">
              <w:marLeft w:val="0"/>
              <w:marRight w:val="0"/>
              <w:marTop w:val="0"/>
              <w:marBottom w:val="0"/>
              <w:divBdr>
                <w:top w:val="none" w:sz="0" w:space="0" w:color="auto"/>
                <w:left w:val="none" w:sz="0" w:space="0" w:color="auto"/>
                <w:bottom w:val="none" w:sz="0" w:space="0" w:color="auto"/>
                <w:right w:val="none" w:sz="0" w:space="0" w:color="auto"/>
              </w:divBdr>
            </w:div>
          </w:divsChild>
        </w:div>
        <w:div w:id="680013082">
          <w:marLeft w:val="0"/>
          <w:marRight w:val="0"/>
          <w:marTop w:val="0"/>
          <w:marBottom w:val="0"/>
          <w:divBdr>
            <w:top w:val="none" w:sz="0" w:space="0" w:color="auto"/>
            <w:left w:val="none" w:sz="0" w:space="0" w:color="auto"/>
            <w:bottom w:val="none" w:sz="0" w:space="0" w:color="auto"/>
            <w:right w:val="none" w:sz="0" w:space="0" w:color="auto"/>
          </w:divBdr>
          <w:divsChild>
            <w:div w:id="1892617691">
              <w:marLeft w:val="0"/>
              <w:marRight w:val="0"/>
              <w:marTop w:val="0"/>
              <w:marBottom w:val="0"/>
              <w:divBdr>
                <w:top w:val="none" w:sz="0" w:space="0" w:color="auto"/>
                <w:left w:val="none" w:sz="0" w:space="0" w:color="auto"/>
                <w:bottom w:val="none" w:sz="0" w:space="0" w:color="auto"/>
                <w:right w:val="none" w:sz="0" w:space="0" w:color="auto"/>
              </w:divBdr>
              <w:divsChild>
                <w:div w:id="363019621">
                  <w:marLeft w:val="0"/>
                  <w:marRight w:val="0"/>
                  <w:marTop w:val="0"/>
                  <w:marBottom w:val="0"/>
                  <w:divBdr>
                    <w:top w:val="none" w:sz="0" w:space="0" w:color="auto"/>
                    <w:left w:val="none" w:sz="0" w:space="0" w:color="auto"/>
                    <w:bottom w:val="none" w:sz="0" w:space="0" w:color="auto"/>
                    <w:right w:val="none" w:sz="0" w:space="0" w:color="auto"/>
                  </w:divBdr>
                  <w:divsChild>
                    <w:div w:id="561210979">
                      <w:marLeft w:val="0"/>
                      <w:marRight w:val="0"/>
                      <w:marTop w:val="0"/>
                      <w:marBottom w:val="0"/>
                      <w:divBdr>
                        <w:top w:val="none" w:sz="0" w:space="0" w:color="auto"/>
                        <w:left w:val="none" w:sz="0" w:space="0" w:color="auto"/>
                        <w:bottom w:val="none" w:sz="0" w:space="0" w:color="auto"/>
                        <w:right w:val="none" w:sz="0" w:space="0" w:color="auto"/>
                      </w:divBdr>
                    </w:div>
                    <w:div w:id="337120830">
                      <w:marLeft w:val="0"/>
                      <w:marRight w:val="0"/>
                      <w:marTop w:val="0"/>
                      <w:marBottom w:val="0"/>
                      <w:divBdr>
                        <w:top w:val="none" w:sz="0" w:space="0" w:color="auto"/>
                        <w:left w:val="none" w:sz="0" w:space="0" w:color="auto"/>
                        <w:bottom w:val="none" w:sz="0" w:space="0" w:color="auto"/>
                        <w:right w:val="none" w:sz="0" w:space="0" w:color="auto"/>
                      </w:divBdr>
                    </w:div>
                    <w:div w:id="1674911781">
                      <w:marLeft w:val="0"/>
                      <w:marRight w:val="0"/>
                      <w:marTop w:val="0"/>
                      <w:marBottom w:val="0"/>
                      <w:divBdr>
                        <w:top w:val="none" w:sz="0" w:space="0" w:color="auto"/>
                        <w:left w:val="none" w:sz="0" w:space="0" w:color="auto"/>
                        <w:bottom w:val="none" w:sz="0" w:space="0" w:color="auto"/>
                        <w:right w:val="none" w:sz="0" w:space="0" w:color="auto"/>
                      </w:divBdr>
                    </w:div>
                    <w:div w:id="957759323">
                      <w:marLeft w:val="0"/>
                      <w:marRight w:val="0"/>
                      <w:marTop w:val="0"/>
                      <w:marBottom w:val="0"/>
                      <w:divBdr>
                        <w:top w:val="none" w:sz="0" w:space="0" w:color="auto"/>
                        <w:left w:val="none" w:sz="0" w:space="0" w:color="auto"/>
                        <w:bottom w:val="none" w:sz="0" w:space="0" w:color="auto"/>
                        <w:right w:val="none" w:sz="0" w:space="0" w:color="auto"/>
                      </w:divBdr>
                    </w:div>
                    <w:div w:id="806439361">
                      <w:marLeft w:val="0"/>
                      <w:marRight w:val="0"/>
                      <w:marTop w:val="0"/>
                      <w:marBottom w:val="0"/>
                      <w:divBdr>
                        <w:top w:val="none" w:sz="0" w:space="0" w:color="auto"/>
                        <w:left w:val="none" w:sz="0" w:space="0" w:color="auto"/>
                        <w:bottom w:val="none" w:sz="0" w:space="0" w:color="auto"/>
                        <w:right w:val="none" w:sz="0" w:space="0" w:color="auto"/>
                      </w:divBdr>
                    </w:div>
                    <w:div w:id="206307417">
                      <w:marLeft w:val="0"/>
                      <w:marRight w:val="0"/>
                      <w:marTop w:val="0"/>
                      <w:marBottom w:val="0"/>
                      <w:divBdr>
                        <w:top w:val="none" w:sz="0" w:space="0" w:color="auto"/>
                        <w:left w:val="none" w:sz="0" w:space="0" w:color="auto"/>
                        <w:bottom w:val="none" w:sz="0" w:space="0" w:color="auto"/>
                        <w:right w:val="none" w:sz="0" w:space="0" w:color="auto"/>
                      </w:divBdr>
                    </w:div>
                    <w:div w:id="1569801264">
                      <w:marLeft w:val="0"/>
                      <w:marRight w:val="0"/>
                      <w:marTop w:val="0"/>
                      <w:marBottom w:val="0"/>
                      <w:divBdr>
                        <w:top w:val="none" w:sz="0" w:space="0" w:color="auto"/>
                        <w:left w:val="none" w:sz="0" w:space="0" w:color="auto"/>
                        <w:bottom w:val="none" w:sz="0" w:space="0" w:color="auto"/>
                        <w:right w:val="none" w:sz="0" w:space="0" w:color="auto"/>
                      </w:divBdr>
                    </w:div>
                    <w:div w:id="2092384349">
                      <w:marLeft w:val="0"/>
                      <w:marRight w:val="0"/>
                      <w:marTop w:val="0"/>
                      <w:marBottom w:val="0"/>
                      <w:divBdr>
                        <w:top w:val="none" w:sz="0" w:space="0" w:color="auto"/>
                        <w:left w:val="none" w:sz="0" w:space="0" w:color="auto"/>
                        <w:bottom w:val="none" w:sz="0" w:space="0" w:color="auto"/>
                        <w:right w:val="none" w:sz="0" w:space="0" w:color="auto"/>
                      </w:divBdr>
                    </w:div>
                    <w:div w:id="1034966796">
                      <w:marLeft w:val="0"/>
                      <w:marRight w:val="0"/>
                      <w:marTop w:val="0"/>
                      <w:marBottom w:val="0"/>
                      <w:divBdr>
                        <w:top w:val="none" w:sz="0" w:space="0" w:color="auto"/>
                        <w:left w:val="none" w:sz="0" w:space="0" w:color="auto"/>
                        <w:bottom w:val="none" w:sz="0" w:space="0" w:color="auto"/>
                        <w:right w:val="none" w:sz="0" w:space="0" w:color="auto"/>
                      </w:divBdr>
                    </w:div>
                    <w:div w:id="372460414">
                      <w:marLeft w:val="0"/>
                      <w:marRight w:val="0"/>
                      <w:marTop w:val="0"/>
                      <w:marBottom w:val="0"/>
                      <w:divBdr>
                        <w:top w:val="none" w:sz="0" w:space="0" w:color="auto"/>
                        <w:left w:val="none" w:sz="0" w:space="0" w:color="auto"/>
                        <w:bottom w:val="none" w:sz="0" w:space="0" w:color="auto"/>
                        <w:right w:val="none" w:sz="0" w:space="0" w:color="auto"/>
                      </w:divBdr>
                    </w:div>
                    <w:div w:id="1225409057">
                      <w:marLeft w:val="0"/>
                      <w:marRight w:val="0"/>
                      <w:marTop w:val="0"/>
                      <w:marBottom w:val="0"/>
                      <w:divBdr>
                        <w:top w:val="none" w:sz="0" w:space="0" w:color="auto"/>
                        <w:left w:val="none" w:sz="0" w:space="0" w:color="auto"/>
                        <w:bottom w:val="none" w:sz="0" w:space="0" w:color="auto"/>
                        <w:right w:val="none" w:sz="0" w:space="0" w:color="auto"/>
                      </w:divBdr>
                    </w:div>
                    <w:div w:id="131601128">
                      <w:marLeft w:val="0"/>
                      <w:marRight w:val="0"/>
                      <w:marTop w:val="0"/>
                      <w:marBottom w:val="0"/>
                      <w:divBdr>
                        <w:top w:val="none" w:sz="0" w:space="0" w:color="auto"/>
                        <w:left w:val="none" w:sz="0" w:space="0" w:color="auto"/>
                        <w:bottom w:val="none" w:sz="0" w:space="0" w:color="auto"/>
                        <w:right w:val="none" w:sz="0" w:space="0" w:color="auto"/>
                      </w:divBdr>
                    </w:div>
                    <w:div w:id="1226985281">
                      <w:marLeft w:val="0"/>
                      <w:marRight w:val="0"/>
                      <w:marTop w:val="0"/>
                      <w:marBottom w:val="0"/>
                      <w:divBdr>
                        <w:top w:val="none" w:sz="0" w:space="0" w:color="auto"/>
                        <w:left w:val="none" w:sz="0" w:space="0" w:color="auto"/>
                        <w:bottom w:val="none" w:sz="0" w:space="0" w:color="auto"/>
                        <w:right w:val="none" w:sz="0" w:space="0" w:color="auto"/>
                      </w:divBdr>
                    </w:div>
                    <w:div w:id="494344816">
                      <w:marLeft w:val="0"/>
                      <w:marRight w:val="0"/>
                      <w:marTop w:val="0"/>
                      <w:marBottom w:val="0"/>
                      <w:divBdr>
                        <w:top w:val="none" w:sz="0" w:space="0" w:color="auto"/>
                        <w:left w:val="none" w:sz="0" w:space="0" w:color="auto"/>
                        <w:bottom w:val="none" w:sz="0" w:space="0" w:color="auto"/>
                        <w:right w:val="none" w:sz="0" w:space="0" w:color="auto"/>
                      </w:divBdr>
                    </w:div>
                    <w:div w:id="1445152416">
                      <w:marLeft w:val="0"/>
                      <w:marRight w:val="0"/>
                      <w:marTop w:val="0"/>
                      <w:marBottom w:val="0"/>
                      <w:divBdr>
                        <w:top w:val="none" w:sz="0" w:space="0" w:color="auto"/>
                        <w:left w:val="none" w:sz="0" w:space="0" w:color="auto"/>
                        <w:bottom w:val="none" w:sz="0" w:space="0" w:color="auto"/>
                        <w:right w:val="none" w:sz="0" w:space="0" w:color="auto"/>
                      </w:divBdr>
                    </w:div>
                    <w:div w:id="344864410">
                      <w:marLeft w:val="0"/>
                      <w:marRight w:val="0"/>
                      <w:marTop w:val="0"/>
                      <w:marBottom w:val="0"/>
                      <w:divBdr>
                        <w:top w:val="none" w:sz="0" w:space="0" w:color="auto"/>
                        <w:left w:val="none" w:sz="0" w:space="0" w:color="auto"/>
                        <w:bottom w:val="none" w:sz="0" w:space="0" w:color="auto"/>
                        <w:right w:val="none" w:sz="0" w:space="0" w:color="auto"/>
                      </w:divBdr>
                    </w:div>
                    <w:div w:id="1093167981">
                      <w:marLeft w:val="0"/>
                      <w:marRight w:val="0"/>
                      <w:marTop w:val="0"/>
                      <w:marBottom w:val="0"/>
                      <w:divBdr>
                        <w:top w:val="none" w:sz="0" w:space="0" w:color="auto"/>
                        <w:left w:val="none" w:sz="0" w:space="0" w:color="auto"/>
                        <w:bottom w:val="none" w:sz="0" w:space="0" w:color="auto"/>
                        <w:right w:val="none" w:sz="0" w:space="0" w:color="auto"/>
                      </w:divBdr>
                    </w:div>
                    <w:div w:id="1482425843">
                      <w:marLeft w:val="0"/>
                      <w:marRight w:val="0"/>
                      <w:marTop w:val="0"/>
                      <w:marBottom w:val="0"/>
                      <w:divBdr>
                        <w:top w:val="none" w:sz="0" w:space="0" w:color="auto"/>
                        <w:left w:val="none" w:sz="0" w:space="0" w:color="auto"/>
                        <w:bottom w:val="none" w:sz="0" w:space="0" w:color="auto"/>
                        <w:right w:val="none" w:sz="0" w:space="0" w:color="auto"/>
                      </w:divBdr>
                    </w:div>
                    <w:div w:id="1466040421">
                      <w:marLeft w:val="0"/>
                      <w:marRight w:val="0"/>
                      <w:marTop w:val="0"/>
                      <w:marBottom w:val="0"/>
                      <w:divBdr>
                        <w:top w:val="none" w:sz="0" w:space="0" w:color="auto"/>
                        <w:left w:val="none" w:sz="0" w:space="0" w:color="auto"/>
                        <w:bottom w:val="none" w:sz="0" w:space="0" w:color="auto"/>
                        <w:right w:val="none" w:sz="0" w:space="0" w:color="auto"/>
                      </w:divBdr>
                    </w:div>
                    <w:div w:id="885222345">
                      <w:marLeft w:val="0"/>
                      <w:marRight w:val="0"/>
                      <w:marTop w:val="0"/>
                      <w:marBottom w:val="0"/>
                      <w:divBdr>
                        <w:top w:val="none" w:sz="0" w:space="0" w:color="auto"/>
                        <w:left w:val="none" w:sz="0" w:space="0" w:color="auto"/>
                        <w:bottom w:val="none" w:sz="0" w:space="0" w:color="auto"/>
                        <w:right w:val="none" w:sz="0" w:space="0" w:color="auto"/>
                      </w:divBdr>
                    </w:div>
                    <w:div w:id="720641608">
                      <w:marLeft w:val="0"/>
                      <w:marRight w:val="0"/>
                      <w:marTop w:val="0"/>
                      <w:marBottom w:val="0"/>
                      <w:divBdr>
                        <w:top w:val="none" w:sz="0" w:space="0" w:color="auto"/>
                        <w:left w:val="none" w:sz="0" w:space="0" w:color="auto"/>
                        <w:bottom w:val="none" w:sz="0" w:space="0" w:color="auto"/>
                        <w:right w:val="none" w:sz="0" w:space="0" w:color="auto"/>
                      </w:divBdr>
                    </w:div>
                    <w:div w:id="1065572489">
                      <w:marLeft w:val="0"/>
                      <w:marRight w:val="0"/>
                      <w:marTop w:val="0"/>
                      <w:marBottom w:val="0"/>
                      <w:divBdr>
                        <w:top w:val="none" w:sz="0" w:space="0" w:color="auto"/>
                        <w:left w:val="none" w:sz="0" w:space="0" w:color="auto"/>
                        <w:bottom w:val="none" w:sz="0" w:space="0" w:color="auto"/>
                        <w:right w:val="none" w:sz="0" w:space="0" w:color="auto"/>
                      </w:divBdr>
                    </w:div>
                    <w:div w:id="648245626">
                      <w:marLeft w:val="0"/>
                      <w:marRight w:val="0"/>
                      <w:marTop w:val="0"/>
                      <w:marBottom w:val="0"/>
                      <w:divBdr>
                        <w:top w:val="none" w:sz="0" w:space="0" w:color="auto"/>
                        <w:left w:val="none" w:sz="0" w:space="0" w:color="auto"/>
                        <w:bottom w:val="none" w:sz="0" w:space="0" w:color="auto"/>
                        <w:right w:val="none" w:sz="0" w:space="0" w:color="auto"/>
                      </w:divBdr>
                    </w:div>
                    <w:div w:id="141777779">
                      <w:marLeft w:val="0"/>
                      <w:marRight w:val="0"/>
                      <w:marTop w:val="0"/>
                      <w:marBottom w:val="0"/>
                      <w:divBdr>
                        <w:top w:val="none" w:sz="0" w:space="0" w:color="auto"/>
                        <w:left w:val="none" w:sz="0" w:space="0" w:color="auto"/>
                        <w:bottom w:val="none" w:sz="0" w:space="0" w:color="auto"/>
                        <w:right w:val="none" w:sz="0" w:space="0" w:color="auto"/>
                      </w:divBdr>
                    </w:div>
                    <w:div w:id="1975793119">
                      <w:marLeft w:val="0"/>
                      <w:marRight w:val="0"/>
                      <w:marTop w:val="0"/>
                      <w:marBottom w:val="0"/>
                      <w:divBdr>
                        <w:top w:val="none" w:sz="0" w:space="0" w:color="auto"/>
                        <w:left w:val="none" w:sz="0" w:space="0" w:color="auto"/>
                        <w:bottom w:val="none" w:sz="0" w:space="0" w:color="auto"/>
                        <w:right w:val="none" w:sz="0" w:space="0" w:color="auto"/>
                      </w:divBdr>
                    </w:div>
                    <w:div w:id="896013126">
                      <w:marLeft w:val="0"/>
                      <w:marRight w:val="0"/>
                      <w:marTop w:val="0"/>
                      <w:marBottom w:val="0"/>
                      <w:divBdr>
                        <w:top w:val="none" w:sz="0" w:space="0" w:color="auto"/>
                        <w:left w:val="none" w:sz="0" w:space="0" w:color="auto"/>
                        <w:bottom w:val="none" w:sz="0" w:space="0" w:color="auto"/>
                        <w:right w:val="none" w:sz="0" w:space="0" w:color="auto"/>
                      </w:divBdr>
                    </w:div>
                    <w:div w:id="2046787530">
                      <w:marLeft w:val="0"/>
                      <w:marRight w:val="0"/>
                      <w:marTop w:val="0"/>
                      <w:marBottom w:val="0"/>
                      <w:divBdr>
                        <w:top w:val="none" w:sz="0" w:space="0" w:color="auto"/>
                        <w:left w:val="none" w:sz="0" w:space="0" w:color="auto"/>
                        <w:bottom w:val="none" w:sz="0" w:space="0" w:color="auto"/>
                        <w:right w:val="none" w:sz="0" w:space="0" w:color="auto"/>
                      </w:divBdr>
                    </w:div>
                    <w:div w:id="277152167">
                      <w:marLeft w:val="0"/>
                      <w:marRight w:val="0"/>
                      <w:marTop w:val="0"/>
                      <w:marBottom w:val="0"/>
                      <w:divBdr>
                        <w:top w:val="none" w:sz="0" w:space="0" w:color="auto"/>
                        <w:left w:val="none" w:sz="0" w:space="0" w:color="auto"/>
                        <w:bottom w:val="none" w:sz="0" w:space="0" w:color="auto"/>
                        <w:right w:val="none" w:sz="0" w:space="0" w:color="auto"/>
                      </w:divBdr>
                    </w:div>
                    <w:div w:id="1621716017">
                      <w:marLeft w:val="0"/>
                      <w:marRight w:val="0"/>
                      <w:marTop w:val="0"/>
                      <w:marBottom w:val="0"/>
                      <w:divBdr>
                        <w:top w:val="none" w:sz="0" w:space="0" w:color="auto"/>
                        <w:left w:val="none" w:sz="0" w:space="0" w:color="auto"/>
                        <w:bottom w:val="none" w:sz="0" w:space="0" w:color="auto"/>
                        <w:right w:val="none" w:sz="0" w:space="0" w:color="auto"/>
                      </w:divBdr>
                    </w:div>
                    <w:div w:id="1064989851">
                      <w:marLeft w:val="0"/>
                      <w:marRight w:val="0"/>
                      <w:marTop w:val="0"/>
                      <w:marBottom w:val="0"/>
                      <w:divBdr>
                        <w:top w:val="none" w:sz="0" w:space="0" w:color="auto"/>
                        <w:left w:val="none" w:sz="0" w:space="0" w:color="auto"/>
                        <w:bottom w:val="none" w:sz="0" w:space="0" w:color="auto"/>
                        <w:right w:val="none" w:sz="0" w:space="0" w:color="auto"/>
                      </w:divBdr>
                    </w:div>
                    <w:div w:id="2001886263">
                      <w:marLeft w:val="0"/>
                      <w:marRight w:val="0"/>
                      <w:marTop w:val="0"/>
                      <w:marBottom w:val="0"/>
                      <w:divBdr>
                        <w:top w:val="none" w:sz="0" w:space="0" w:color="auto"/>
                        <w:left w:val="none" w:sz="0" w:space="0" w:color="auto"/>
                        <w:bottom w:val="none" w:sz="0" w:space="0" w:color="auto"/>
                        <w:right w:val="none" w:sz="0" w:space="0" w:color="auto"/>
                      </w:divBdr>
                    </w:div>
                    <w:div w:id="1313288247">
                      <w:marLeft w:val="0"/>
                      <w:marRight w:val="0"/>
                      <w:marTop w:val="0"/>
                      <w:marBottom w:val="0"/>
                      <w:divBdr>
                        <w:top w:val="none" w:sz="0" w:space="0" w:color="auto"/>
                        <w:left w:val="none" w:sz="0" w:space="0" w:color="auto"/>
                        <w:bottom w:val="none" w:sz="0" w:space="0" w:color="auto"/>
                        <w:right w:val="none" w:sz="0" w:space="0" w:color="auto"/>
                      </w:divBdr>
                    </w:div>
                    <w:div w:id="1193347307">
                      <w:marLeft w:val="0"/>
                      <w:marRight w:val="0"/>
                      <w:marTop w:val="0"/>
                      <w:marBottom w:val="0"/>
                      <w:divBdr>
                        <w:top w:val="none" w:sz="0" w:space="0" w:color="auto"/>
                        <w:left w:val="none" w:sz="0" w:space="0" w:color="auto"/>
                        <w:bottom w:val="none" w:sz="0" w:space="0" w:color="auto"/>
                        <w:right w:val="none" w:sz="0" w:space="0" w:color="auto"/>
                      </w:divBdr>
                    </w:div>
                    <w:div w:id="802161476">
                      <w:marLeft w:val="0"/>
                      <w:marRight w:val="0"/>
                      <w:marTop w:val="0"/>
                      <w:marBottom w:val="0"/>
                      <w:divBdr>
                        <w:top w:val="none" w:sz="0" w:space="0" w:color="auto"/>
                        <w:left w:val="none" w:sz="0" w:space="0" w:color="auto"/>
                        <w:bottom w:val="none" w:sz="0" w:space="0" w:color="auto"/>
                        <w:right w:val="none" w:sz="0" w:space="0" w:color="auto"/>
                      </w:divBdr>
                    </w:div>
                    <w:div w:id="1040399986">
                      <w:marLeft w:val="0"/>
                      <w:marRight w:val="0"/>
                      <w:marTop w:val="0"/>
                      <w:marBottom w:val="0"/>
                      <w:divBdr>
                        <w:top w:val="none" w:sz="0" w:space="0" w:color="auto"/>
                        <w:left w:val="none" w:sz="0" w:space="0" w:color="auto"/>
                        <w:bottom w:val="none" w:sz="0" w:space="0" w:color="auto"/>
                        <w:right w:val="none" w:sz="0" w:space="0" w:color="auto"/>
                      </w:divBdr>
                    </w:div>
                    <w:div w:id="702363121">
                      <w:marLeft w:val="0"/>
                      <w:marRight w:val="0"/>
                      <w:marTop w:val="0"/>
                      <w:marBottom w:val="0"/>
                      <w:divBdr>
                        <w:top w:val="none" w:sz="0" w:space="0" w:color="auto"/>
                        <w:left w:val="none" w:sz="0" w:space="0" w:color="auto"/>
                        <w:bottom w:val="none" w:sz="0" w:space="0" w:color="auto"/>
                        <w:right w:val="none" w:sz="0" w:space="0" w:color="auto"/>
                      </w:divBdr>
                    </w:div>
                    <w:div w:id="44959129">
                      <w:marLeft w:val="0"/>
                      <w:marRight w:val="0"/>
                      <w:marTop w:val="0"/>
                      <w:marBottom w:val="0"/>
                      <w:divBdr>
                        <w:top w:val="none" w:sz="0" w:space="0" w:color="auto"/>
                        <w:left w:val="none" w:sz="0" w:space="0" w:color="auto"/>
                        <w:bottom w:val="none" w:sz="0" w:space="0" w:color="auto"/>
                        <w:right w:val="none" w:sz="0" w:space="0" w:color="auto"/>
                      </w:divBdr>
                    </w:div>
                    <w:div w:id="1152985101">
                      <w:marLeft w:val="0"/>
                      <w:marRight w:val="0"/>
                      <w:marTop w:val="0"/>
                      <w:marBottom w:val="0"/>
                      <w:divBdr>
                        <w:top w:val="none" w:sz="0" w:space="0" w:color="auto"/>
                        <w:left w:val="none" w:sz="0" w:space="0" w:color="auto"/>
                        <w:bottom w:val="none" w:sz="0" w:space="0" w:color="auto"/>
                        <w:right w:val="none" w:sz="0" w:space="0" w:color="auto"/>
                      </w:divBdr>
                    </w:div>
                    <w:div w:id="140199667">
                      <w:marLeft w:val="0"/>
                      <w:marRight w:val="0"/>
                      <w:marTop w:val="0"/>
                      <w:marBottom w:val="0"/>
                      <w:divBdr>
                        <w:top w:val="none" w:sz="0" w:space="0" w:color="auto"/>
                        <w:left w:val="none" w:sz="0" w:space="0" w:color="auto"/>
                        <w:bottom w:val="none" w:sz="0" w:space="0" w:color="auto"/>
                        <w:right w:val="none" w:sz="0" w:space="0" w:color="auto"/>
                      </w:divBdr>
                    </w:div>
                    <w:div w:id="63648529">
                      <w:marLeft w:val="0"/>
                      <w:marRight w:val="0"/>
                      <w:marTop w:val="0"/>
                      <w:marBottom w:val="0"/>
                      <w:divBdr>
                        <w:top w:val="none" w:sz="0" w:space="0" w:color="auto"/>
                        <w:left w:val="none" w:sz="0" w:space="0" w:color="auto"/>
                        <w:bottom w:val="none" w:sz="0" w:space="0" w:color="auto"/>
                        <w:right w:val="none" w:sz="0" w:space="0" w:color="auto"/>
                      </w:divBdr>
                    </w:div>
                    <w:div w:id="669794220">
                      <w:marLeft w:val="0"/>
                      <w:marRight w:val="0"/>
                      <w:marTop w:val="0"/>
                      <w:marBottom w:val="0"/>
                      <w:divBdr>
                        <w:top w:val="none" w:sz="0" w:space="0" w:color="auto"/>
                        <w:left w:val="none" w:sz="0" w:space="0" w:color="auto"/>
                        <w:bottom w:val="none" w:sz="0" w:space="0" w:color="auto"/>
                        <w:right w:val="none" w:sz="0" w:space="0" w:color="auto"/>
                      </w:divBdr>
                    </w:div>
                    <w:div w:id="1223563774">
                      <w:marLeft w:val="0"/>
                      <w:marRight w:val="0"/>
                      <w:marTop w:val="0"/>
                      <w:marBottom w:val="0"/>
                      <w:divBdr>
                        <w:top w:val="none" w:sz="0" w:space="0" w:color="auto"/>
                        <w:left w:val="none" w:sz="0" w:space="0" w:color="auto"/>
                        <w:bottom w:val="none" w:sz="0" w:space="0" w:color="auto"/>
                        <w:right w:val="none" w:sz="0" w:space="0" w:color="auto"/>
                      </w:divBdr>
                    </w:div>
                    <w:div w:id="832644336">
                      <w:marLeft w:val="0"/>
                      <w:marRight w:val="0"/>
                      <w:marTop w:val="0"/>
                      <w:marBottom w:val="0"/>
                      <w:divBdr>
                        <w:top w:val="none" w:sz="0" w:space="0" w:color="auto"/>
                        <w:left w:val="none" w:sz="0" w:space="0" w:color="auto"/>
                        <w:bottom w:val="none" w:sz="0" w:space="0" w:color="auto"/>
                        <w:right w:val="none" w:sz="0" w:space="0" w:color="auto"/>
                      </w:divBdr>
                    </w:div>
                    <w:div w:id="660544883">
                      <w:marLeft w:val="0"/>
                      <w:marRight w:val="0"/>
                      <w:marTop w:val="0"/>
                      <w:marBottom w:val="0"/>
                      <w:divBdr>
                        <w:top w:val="none" w:sz="0" w:space="0" w:color="auto"/>
                        <w:left w:val="none" w:sz="0" w:space="0" w:color="auto"/>
                        <w:bottom w:val="none" w:sz="0" w:space="0" w:color="auto"/>
                        <w:right w:val="none" w:sz="0" w:space="0" w:color="auto"/>
                      </w:divBdr>
                    </w:div>
                    <w:div w:id="1681392615">
                      <w:marLeft w:val="0"/>
                      <w:marRight w:val="0"/>
                      <w:marTop w:val="0"/>
                      <w:marBottom w:val="0"/>
                      <w:divBdr>
                        <w:top w:val="none" w:sz="0" w:space="0" w:color="auto"/>
                        <w:left w:val="none" w:sz="0" w:space="0" w:color="auto"/>
                        <w:bottom w:val="none" w:sz="0" w:space="0" w:color="auto"/>
                        <w:right w:val="none" w:sz="0" w:space="0" w:color="auto"/>
                      </w:divBdr>
                    </w:div>
                    <w:div w:id="963076049">
                      <w:marLeft w:val="0"/>
                      <w:marRight w:val="0"/>
                      <w:marTop w:val="0"/>
                      <w:marBottom w:val="0"/>
                      <w:divBdr>
                        <w:top w:val="none" w:sz="0" w:space="0" w:color="auto"/>
                        <w:left w:val="none" w:sz="0" w:space="0" w:color="auto"/>
                        <w:bottom w:val="none" w:sz="0" w:space="0" w:color="auto"/>
                        <w:right w:val="none" w:sz="0" w:space="0" w:color="auto"/>
                      </w:divBdr>
                    </w:div>
                    <w:div w:id="1867325527">
                      <w:marLeft w:val="0"/>
                      <w:marRight w:val="0"/>
                      <w:marTop w:val="0"/>
                      <w:marBottom w:val="0"/>
                      <w:divBdr>
                        <w:top w:val="none" w:sz="0" w:space="0" w:color="auto"/>
                        <w:left w:val="none" w:sz="0" w:space="0" w:color="auto"/>
                        <w:bottom w:val="none" w:sz="0" w:space="0" w:color="auto"/>
                        <w:right w:val="none" w:sz="0" w:space="0" w:color="auto"/>
                      </w:divBdr>
                    </w:div>
                    <w:div w:id="1085031636">
                      <w:marLeft w:val="0"/>
                      <w:marRight w:val="0"/>
                      <w:marTop w:val="0"/>
                      <w:marBottom w:val="0"/>
                      <w:divBdr>
                        <w:top w:val="none" w:sz="0" w:space="0" w:color="auto"/>
                        <w:left w:val="none" w:sz="0" w:space="0" w:color="auto"/>
                        <w:bottom w:val="none" w:sz="0" w:space="0" w:color="auto"/>
                        <w:right w:val="none" w:sz="0" w:space="0" w:color="auto"/>
                      </w:divBdr>
                    </w:div>
                    <w:div w:id="40790648">
                      <w:marLeft w:val="0"/>
                      <w:marRight w:val="0"/>
                      <w:marTop w:val="0"/>
                      <w:marBottom w:val="0"/>
                      <w:divBdr>
                        <w:top w:val="none" w:sz="0" w:space="0" w:color="auto"/>
                        <w:left w:val="none" w:sz="0" w:space="0" w:color="auto"/>
                        <w:bottom w:val="none" w:sz="0" w:space="0" w:color="auto"/>
                        <w:right w:val="none" w:sz="0" w:space="0" w:color="auto"/>
                      </w:divBdr>
                    </w:div>
                    <w:div w:id="469054793">
                      <w:marLeft w:val="0"/>
                      <w:marRight w:val="0"/>
                      <w:marTop w:val="0"/>
                      <w:marBottom w:val="0"/>
                      <w:divBdr>
                        <w:top w:val="none" w:sz="0" w:space="0" w:color="auto"/>
                        <w:left w:val="none" w:sz="0" w:space="0" w:color="auto"/>
                        <w:bottom w:val="none" w:sz="0" w:space="0" w:color="auto"/>
                        <w:right w:val="none" w:sz="0" w:space="0" w:color="auto"/>
                      </w:divBdr>
                    </w:div>
                    <w:div w:id="1058435565">
                      <w:marLeft w:val="0"/>
                      <w:marRight w:val="0"/>
                      <w:marTop w:val="0"/>
                      <w:marBottom w:val="0"/>
                      <w:divBdr>
                        <w:top w:val="none" w:sz="0" w:space="0" w:color="auto"/>
                        <w:left w:val="none" w:sz="0" w:space="0" w:color="auto"/>
                        <w:bottom w:val="none" w:sz="0" w:space="0" w:color="auto"/>
                        <w:right w:val="none" w:sz="0" w:space="0" w:color="auto"/>
                      </w:divBdr>
                    </w:div>
                    <w:div w:id="952594632">
                      <w:marLeft w:val="0"/>
                      <w:marRight w:val="0"/>
                      <w:marTop w:val="0"/>
                      <w:marBottom w:val="0"/>
                      <w:divBdr>
                        <w:top w:val="none" w:sz="0" w:space="0" w:color="auto"/>
                        <w:left w:val="none" w:sz="0" w:space="0" w:color="auto"/>
                        <w:bottom w:val="none" w:sz="0" w:space="0" w:color="auto"/>
                        <w:right w:val="none" w:sz="0" w:space="0" w:color="auto"/>
                      </w:divBdr>
                    </w:div>
                    <w:div w:id="1548568627">
                      <w:marLeft w:val="0"/>
                      <w:marRight w:val="0"/>
                      <w:marTop w:val="0"/>
                      <w:marBottom w:val="0"/>
                      <w:divBdr>
                        <w:top w:val="none" w:sz="0" w:space="0" w:color="auto"/>
                        <w:left w:val="none" w:sz="0" w:space="0" w:color="auto"/>
                        <w:bottom w:val="none" w:sz="0" w:space="0" w:color="auto"/>
                        <w:right w:val="none" w:sz="0" w:space="0" w:color="auto"/>
                      </w:divBdr>
                    </w:div>
                    <w:div w:id="1666593645">
                      <w:marLeft w:val="0"/>
                      <w:marRight w:val="0"/>
                      <w:marTop w:val="0"/>
                      <w:marBottom w:val="0"/>
                      <w:divBdr>
                        <w:top w:val="none" w:sz="0" w:space="0" w:color="auto"/>
                        <w:left w:val="none" w:sz="0" w:space="0" w:color="auto"/>
                        <w:bottom w:val="none" w:sz="0" w:space="0" w:color="auto"/>
                        <w:right w:val="none" w:sz="0" w:space="0" w:color="auto"/>
                      </w:divBdr>
                    </w:div>
                    <w:div w:id="100149951">
                      <w:marLeft w:val="0"/>
                      <w:marRight w:val="0"/>
                      <w:marTop w:val="0"/>
                      <w:marBottom w:val="0"/>
                      <w:divBdr>
                        <w:top w:val="none" w:sz="0" w:space="0" w:color="auto"/>
                        <w:left w:val="none" w:sz="0" w:space="0" w:color="auto"/>
                        <w:bottom w:val="none" w:sz="0" w:space="0" w:color="auto"/>
                        <w:right w:val="none" w:sz="0" w:space="0" w:color="auto"/>
                      </w:divBdr>
                    </w:div>
                    <w:div w:id="2127655065">
                      <w:marLeft w:val="0"/>
                      <w:marRight w:val="0"/>
                      <w:marTop w:val="0"/>
                      <w:marBottom w:val="0"/>
                      <w:divBdr>
                        <w:top w:val="none" w:sz="0" w:space="0" w:color="auto"/>
                        <w:left w:val="none" w:sz="0" w:space="0" w:color="auto"/>
                        <w:bottom w:val="none" w:sz="0" w:space="0" w:color="auto"/>
                        <w:right w:val="none" w:sz="0" w:space="0" w:color="auto"/>
                      </w:divBdr>
                    </w:div>
                    <w:div w:id="1165245597">
                      <w:marLeft w:val="0"/>
                      <w:marRight w:val="0"/>
                      <w:marTop w:val="0"/>
                      <w:marBottom w:val="0"/>
                      <w:divBdr>
                        <w:top w:val="none" w:sz="0" w:space="0" w:color="auto"/>
                        <w:left w:val="none" w:sz="0" w:space="0" w:color="auto"/>
                        <w:bottom w:val="none" w:sz="0" w:space="0" w:color="auto"/>
                        <w:right w:val="none" w:sz="0" w:space="0" w:color="auto"/>
                      </w:divBdr>
                    </w:div>
                    <w:div w:id="1884173889">
                      <w:marLeft w:val="0"/>
                      <w:marRight w:val="0"/>
                      <w:marTop w:val="0"/>
                      <w:marBottom w:val="0"/>
                      <w:divBdr>
                        <w:top w:val="none" w:sz="0" w:space="0" w:color="auto"/>
                        <w:left w:val="none" w:sz="0" w:space="0" w:color="auto"/>
                        <w:bottom w:val="none" w:sz="0" w:space="0" w:color="auto"/>
                        <w:right w:val="none" w:sz="0" w:space="0" w:color="auto"/>
                      </w:divBdr>
                    </w:div>
                    <w:div w:id="1974094808">
                      <w:marLeft w:val="0"/>
                      <w:marRight w:val="0"/>
                      <w:marTop w:val="0"/>
                      <w:marBottom w:val="0"/>
                      <w:divBdr>
                        <w:top w:val="none" w:sz="0" w:space="0" w:color="auto"/>
                        <w:left w:val="none" w:sz="0" w:space="0" w:color="auto"/>
                        <w:bottom w:val="none" w:sz="0" w:space="0" w:color="auto"/>
                        <w:right w:val="none" w:sz="0" w:space="0" w:color="auto"/>
                      </w:divBdr>
                    </w:div>
                    <w:div w:id="971784264">
                      <w:marLeft w:val="0"/>
                      <w:marRight w:val="0"/>
                      <w:marTop w:val="0"/>
                      <w:marBottom w:val="0"/>
                      <w:divBdr>
                        <w:top w:val="none" w:sz="0" w:space="0" w:color="auto"/>
                        <w:left w:val="none" w:sz="0" w:space="0" w:color="auto"/>
                        <w:bottom w:val="none" w:sz="0" w:space="0" w:color="auto"/>
                        <w:right w:val="none" w:sz="0" w:space="0" w:color="auto"/>
                      </w:divBdr>
                    </w:div>
                    <w:div w:id="397944302">
                      <w:marLeft w:val="0"/>
                      <w:marRight w:val="0"/>
                      <w:marTop w:val="0"/>
                      <w:marBottom w:val="0"/>
                      <w:divBdr>
                        <w:top w:val="none" w:sz="0" w:space="0" w:color="auto"/>
                        <w:left w:val="none" w:sz="0" w:space="0" w:color="auto"/>
                        <w:bottom w:val="none" w:sz="0" w:space="0" w:color="auto"/>
                        <w:right w:val="none" w:sz="0" w:space="0" w:color="auto"/>
                      </w:divBdr>
                    </w:div>
                    <w:div w:id="540216423">
                      <w:marLeft w:val="0"/>
                      <w:marRight w:val="0"/>
                      <w:marTop w:val="0"/>
                      <w:marBottom w:val="0"/>
                      <w:divBdr>
                        <w:top w:val="none" w:sz="0" w:space="0" w:color="auto"/>
                        <w:left w:val="none" w:sz="0" w:space="0" w:color="auto"/>
                        <w:bottom w:val="none" w:sz="0" w:space="0" w:color="auto"/>
                        <w:right w:val="none" w:sz="0" w:space="0" w:color="auto"/>
                      </w:divBdr>
                    </w:div>
                    <w:div w:id="1385373626">
                      <w:marLeft w:val="0"/>
                      <w:marRight w:val="0"/>
                      <w:marTop w:val="0"/>
                      <w:marBottom w:val="0"/>
                      <w:divBdr>
                        <w:top w:val="none" w:sz="0" w:space="0" w:color="auto"/>
                        <w:left w:val="none" w:sz="0" w:space="0" w:color="auto"/>
                        <w:bottom w:val="none" w:sz="0" w:space="0" w:color="auto"/>
                        <w:right w:val="none" w:sz="0" w:space="0" w:color="auto"/>
                      </w:divBdr>
                    </w:div>
                    <w:div w:id="744372892">
                      <w:marLeft w:val="0"/>
                      <w:marRight w:val="0"/>
                      <w:marTop w:val="0"/>
                      <w:marBottom w:val="0"/>
                      <w:divBdr>
                        <w:top w:val="none" w:sz="0" w:space="0" w:color="auto"/>
                        <w:left w:val="none" w:sz="0" w:space="0" w:color="auto"/>
                        <w:bottom w:val="none" w:sz="0" w:space="0" w:color="auto"/>
                        <w:right w:val="none" w:sz="0" w:space="0" w:color="auto"/>
                      </w:divBdr>
                    </w:div>
                    <w:div w:id="378750649">
                      <w:marLeft w:val="0"/>
                      <w:marRight w:val="0"/>
                      <w:marTop w:val="0"/>
                      <w:marBottom w:val="0"/>
                      <w:divBdr>
                        <w:top w:val="none" w:sz="0" w:space="0" w:color="auto"/>
                        <w:left w:val="none" w:sz="0" w:space="0" w:color="auto"/>
                        <w:bottom w:val="none" w:sz="0" w:space="0" w:color="auto"/>
                        <w:right w:val="none" w:sz="0" w:space="0" w:color="auto"/>
                      </w:divBdr>
                    </w:div>
                    <w:div w:id="1134562506">
                      <w:marLeft w:val="0"/>
                      <w:marRight w:val="0"/>
                      <w:marTop w:val="0"/>
                      <w:marBottom w:val="0"/>
                      <w:divBdr>
                        <w:top w:val="none" w:sz="0" w:space="0" w:color="auto"/>
                        <w:left w:val="none" w:sz="0" w:space="0" w:color="auto"/>
                        <w:bottom w:val="none" w:sz="0" w:space="0" w:color="auto"/>
                        <w:right w:val="none" w:sz="0" w:space="0" w:color="auto"/>
                      </w:divBdr>
                    </w:div>
                    <w:div w:id="1044253463">
                      <w:marLeft w:val="0"/>
                      <w:marRight w:val="0"/>
                      <w:marTop w:val="0"/>
                      <w:marBottom w:val="0"/>
                      <w:divBdr>
                        <w:top w:val="none" w:sz="0" w:space="0" w:color="auto"/>
                        <w:left w:val="none" w:sz="0" w:space="0" w:color="auto"/>
                        <w:bottom w:val="none" w:sz="0" w:space="0" w:color="auto"/>
                        <w:right w:val="none" w:sz="0" w:space="0" w:color="auto"/>
                      </w:divBdr>
                    </w:div>
                    <w:div w:id="85276556">
                      <w:marLeft w:val="0"/>
                      <w:marRight w:val="0"/>
                      <w:marTop w:val="0"/>
                      <w:marBottom w:val="0"/>
                      <w:divBdr>
                        <w:top w:val="none" w:sz="0" w:space="0" w:color="auto"/>
                        <w:left w:val="none" w:sz="0" w:space="0" w:color="auto"/>
                        <w:bottom w:val="none" w:sz="0" w:space="0" w:color="auto"/>
                        <w:right w:val="none" w:sz="0" w:space="0" w:color="auto"/>
                      </w:divBdr>
                    </w:div>
                    <w:div w:id="58750301">
                      <w:marLeft w:val="0"/>
                      <w:marRight w:val="0"/>
                      <w:marTop w:val="0"/>
                      <w:marBottom w:val="0"/>
                      <w:divBdr>
                        <w:top w:val="none" w:sz="0" w:space="0" w:color="auto"/>
                        <w:left w:val="none" w:sz="0" w:space="0" w:color="auto"/>
                        <w:bottom w:val="none" w:sz="0" w:space="0" w:color="auto"/>
                        <w:right w:val="none" w:sz="0" w:space="0" w:color="auto"/>
                      </w:divBdr>
                    </w:div>
                    <w:div w:id="371273317">
                      <w:marLeft w:val="0"/>
                      <w:marRight w:val="0"/>
                      <w:marTop w:val="0"/>
                      <w:marBottom w:val="0"/>
                      <w:divBdr>
                        <w:top w:val="none" w:sz="0" w:space="0" w:color="auto"/>
                        <w:left w:val="none" w:sz="0" w:space="0" w:color="auto"/>
                        <w:bottom w:val="none" w:sz="0" w:space="0" w:color="auto"/>
                        <w:right w:val="none" w:sz="0" w:space="0" w:color="auto"/>
                      </w:divBdr>
                    </w:div>
                    <w:div w:id="1957785351">
                      <w:marLeft w:val="0"/>
                      <w:marRight w:val="0"/>
                      <w:marTop w:val="0"/>
                      <w:marBottom w:val="0"/>
                      <w:divBdr>
                        <w:top w:val="none" w:sz="0" w:space="0" w:color="auto"/>
                        <w:left w:val="none" w:sz="0" w:space="0" w:color="auto"/>
                        <w:bottom w:val="none" w:sz="0" w:space="0" w:color="auto"/>
                        <w:right w:val="none" w:sz="0" w:space="0" w:color="auto"/>
                      </w:divBdr>
                    </w:div>
                    <w:div w:id="196312658">
                      <w:marLeft w:val="0"/>
                      <w:marRight w:val="0"/>
                      <w:marTop w:val="0"/>
                      <w:marBottom w:val="0"/>
                      <w:divBdr>
                        <w:top w:val="none" w:sz="0" w:space="0" w:color="auto"/>
                        <w:left w:val="none" w:sz="0" w:space="0" w:color="auto"/>
                        <w:bottom w:val="none" w:sz="0" w:space="0" w:color="auto"/>
                        <w:right w:val="none" w:sz="0" w:space="0" w:color="auto"/>
                      </w:divBdr>
                    </w:div>
                    <w:div w:id="1010832095">
                      <w:marLeft w:val="0"/>
                      <w:marRight w:val="0"/>
                      <w:marTop w:val="0"/>
                      <w:marBottom w:val="0"/>
                      <w:divBdr>
                        <w:top w:val="none" w:sz="0" w:space="0" w:color="auto"/>
                        <w:left w:val="none" w:sz="0" w:space="0" w:color="auto"/>
                        <w:bottom w:val="none" w:sz="0" w:space="0" w:color="auto"/>
                        <w:right w:val="none" w:sz="0" w:space="0" w:color="auto"/>
                      </w:divBdr>
                    </w:div>
                    <w:div w:id="141585639">
                      <w:marLeft w:val="0"/>
                      <w:marRight w:val="0"/>
                      <w:marTop w:val="0"/>
                      <w:marBottom w:val="0"/>
                      <w:divBdr>
                        <w:top w:val="none" w:sz="0" w:space="0" w:color="auto"/>
                        <w:left w:val="none" w:sz="0" w:space="0" w:color="auto"/>
                        <w:bottom w:val="none" w:sz="0" w:space="0" w:color="auto"/>
                        <w:right w:val="none" w:sz="0" w:space="0" w:color="auto"/>
                      </w:divBdr>
                    </w:div>
                    <w:div w:id="1890654338">
                      <w:marLeft w:val="0"/>
                      <w:marRight w:val="0"/>
                      <w:marTop w:val="0"/>
                      <w:marBottom w:val="0"/>
                      <w:divBdr>
                        <w:top w:val="none" w:sz="0" w:space="0" w:color="auto"/>
                        <w:left w:val="none" w:sz="0" w:space="0" w:color="auto"/>
                        <w:bottom w:val="none" w:sz="0" w:space="0" w:color="auto"/>
                        <w:right w:val="none" w:sz="0" w:space="0" w:color="auto"/>
                      </w:divBdr>
                    </w:div>
                    <w:div w:id="1153253592">
                      <w:marLeft w:val="0"/>
                      <w:marRight w:val="0"/>
                      <w:marTop w:val="0"/>
                      <w:marBottom w:val="0"/>
                      <w:divBdr>
                        <w:top w:val="none" w:sz="0" w:space="0" w:color="auto"/>
                        <w:left w:val="none" w:sz="0" w:space="0" w:color="auto"/>
                        <w:bottom w:val="none" w:sz="0" w:space="0" w:color="auto"/>
                        <w:right w:val="none" w:sz="0" w:space="0" w:color="auto"/>
                      </w:divBdr>
                    </w:div>
                    <w:div w:id="1024671563">
                      <w:marLeft w:val="0"/>
                      <w:marRight w:val="0"/>
                      <w:marTop w:val="0"/>
                      <w:marBottom w:val="0"/>
                      <w:divBdr>
                        <w:top w:val="none" w:sz="0" w:space="0" w:color="auto"/>
                        <w:left w:val="none" w:sz="0" w:space="0" w:color="auto"/>
                        <w:bottom w:val="none" w:sz="0" w:space="0" w:color="auto"/>
                        <w:right w:val="none" w:sz="0" w:space="0" w:color="auto"/>
                      </w:divBdr>
                    </w:div>
                    <w:div w:id="1099109003">
                      <w:marLeft w:val="0"/>
                      <w:marRight w:val="0"/>
                      <w:marTop w:val="0"/>
                      <w:marBottom w:val="0"/>
                      <w:divBdr>
                        <w:top w:val="none" w:sz="0" w:space="0" w:color="auto"/>
                        <w:left w:val="none" w:sz="0" w:space="0" w:color="auto"/>
                        <w:bottom w:val="none" w:sz="0" w:space="0" w:color="auto"/>
                        <w:right w:val="none" w:sz="0" w:space="0" w:color="auto"/>
                      </w:divBdr>
                    </w:div>
                    <w:div w:id="1713724485">
                      <w:marLeft w:val="0"/>
                      <w:marRight w:val="0"/>
                      <w:marTop w:val="0"/>
                      <w:marBottom w:val="0"/>
                      <w:divBdr>
                        <w:top w:val="none" w:sz="0" w:space="0" w:color="auto"/>
                        <w:left w:val="none" w:sz="0" w:space="0" w:color="auto"/>
                        <w:bottom w:val="none" w:sz="0" w:space="0" w:color="auto"/>
                        <w:right w:val="none" w:sz="0" w:space="0" w:color="auto"/>
                      </w:divBdr>
                    </w:div>
                    <w:div w:id="1638147557">
                      <w:marLeft w:val="0"/>
                      <w:marRight w:val="0"/>
                      <w:marTop w:val="0"/>
                      <w:marBottom w:val="0"/>
                      <w:divBdr>
                        <w:top w:val="none" w:sz="0" w:space="0" w:color="auto"/>
                        <w:left w:val="none" w:sz="0" w:space="0" w:color="auto"/>
                        <w:bottom w:val="none" w:sz="0" w:space="0" w:color="auto"/>
                        <w:right w:val="none" w:sz="0" w:space="0" w:color="auto"/>
                      </w:divBdr>
                    </w:div>
                    <w:div w:id="1656759000">
                      <w:marLeft w:val="0"/>
                      <w:marRight w:val="0"/>
                      <w:marTop w:val="0"/>
                      <w:marBottom w:val="0"/>
                      <w:divBdr>
                        <w:top w:val="none" w:sz="0" w:space="0" w:color="auto"/>
                        <w:left w:val="none" w:sz="0" w:space="0" w:color="auto"/>
                        <w:bottom w:val="none" w:sz="0" w:space="0" w:color="auto"/>
                        <w:right w:val="none" w:sz="0" w:space="0" w:color="auto"/>
                      </w:divBdr>
                    </w:div>
                    <w:div w:id="1341929156">
                      <w:marLeft w:val="0"/>
                      <w:marRight w:val="0"/>
                      <w:marTop w:val="0"/>
                      <w:marBottom w:val="0"/>
                      <w:divBdr>
                        <w:top w:val="none" w:sz="0" w:space="0" w:color="auto"/>
                        <w:left w:val="none" w:sz="0" w:space="0" w:color="auto"/>
                        <w:bottom w:val="none" w:sz="0" w:space="0" w:color="auto"/>
                        <w:right w:val="none" w:sz="0" w:space="0" w:color="auto"/>
                      </w:divBdr>
                    </w:div>
                    <w:div w:id="63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1050</Words>
  <Characters>5986</Characters>
  <Application>Microsoft Office Word</Application>
  <DocSecurity>0</DocSecurity>
  <Lines>49</Lines>
  <Paragraphs>14</Paragraphs>
  <ScaleCrop>false</ScaleCrop>
  <Company>China</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2018-01-02T05:19:00Z</dcterms:created>
  <dcterms:modified xsi:type="dcterms:W3CDTF">2018-01-02T05:23:00Z</dcterms:modified>
</cp:coreProperties>
</file>